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AC487" w14:textId="1EF888CE" w:rsidR="003566B0" w:rsidRDefault="00076282" w:rsidP="00425C92">
      <w:pPr>
        <w:spacing w:before="0" w:after="120"/>
        <w:ind w:firstLine="0"/>
        <w:rPr>
          <w:b/>
          <w:bCs/>
        </w:rPr>
      </w:pPr>
      <w:r w:rsidRPr="007B0E3B">
        <w:rPr>
          <w:noProof/>
        </w:rPr>
        <w:drawing>
          <wp:anchor distT="0" distB="0" distL="114300" distR="114300" simplePos="0" relativeHeight="251658240" behindDoc="0" locked="0" layoutInCell="1" allowOverlap="1" wp14:anchorId="3F389C28" wp14:editId="0CA06E22">
            <wp:simplePos x="0" y="0"/>
            <wp:positionH relativeFrom="column">
              <wp:posOffset>4533900</wp:posOffset>
            </wp:positionH>
            <wp:positionV relativeFrom="paragraph">
              <wp:posOffset>266700</wp:posOffset>
            </wp:positionV>
            <wp:extent cx="1223010" cy="742950"/>
            <wp:effectExtent l="0" t="0" r="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F0156" w14:textId="761BFA5C" w:rsidR="0088301E" w:rsidRDefault="0088301E" w:rsidP="00076282">
      <w:pPr>
        <w:spacing w:before="0" w:after="120"/>
        <w:ind w:firstLine="0"/>
      </w:pPr>
      <w:r w:rsidRPr="003566B0">
        <w:rPr>
          <w:b/>
          <w:bCs/>
        </w:rPr>
        <w:t>Meeting:</w:t>
      </w:r>
      <w:r w:rsidRPr="002C7104">
        <w:t xml:space="preserve"> </w:t>
      </w:r>
      <w:r w:rsidR="00076282" w:rsidRPr="00076282">
        <w:rPr>
          <w:noProof/>
        </w:rPr>
        <w:t xml:space="preserve"> </w:t>
      </w:r>
      <w:r w:rsidR="004A5913">
        <w:rPr>
          <w:noProof/>
        </w:rPr>
        <w:t>F</w:t>
      </w:r>
      <w:r w:rsidR="003A29F0">
        <w:rPr>
          <w:noProof/>
        </w:rPr>
        <w:t>ire Services Management Committee</w:t>
      </w:r>
    </w:p>
    <w:p w14:paraId="48F31F7A" w14:textId="4BDEB5EB" w:rsidR="0088301E" w:rsidRPr="003566B0" w:rsidRDefault="0088301E" w:rsidP="00076282">
      <w:pPr>
        <w:spacing w:before="0" w:after="120"/>
        <w:ind w:firstLine="0"/>
        <w:rPr>
          <w:color w:val="FF0000"/>
        </w:rPr>
      </w:pPr>
      <w:r w:rsidRPr="003566B0">
        <w:rPr>
          <w:b/>
          <w:bCs/>
        </w:rPr>
        <w:t>Date:</w:t>
      </w:r>
      <w:r>
        <w:t xml:space="preserve"> </w:t>
      </w:r>
      <w:r w:rsidR="003A29F0">
        <w:t>9 Dec</w:t>
      </w:r>
      <w:r w:rsidR="0053795B">
        <w:t>ember 2022</w:t>
      </w:r>
    </w:p>
    <w:p w14:paraId="39F52046" w14:textId="77777777" w:rsidR="00076282" w:rsidRDefault="00076282" w:rsidP="004748F8">
      <w:pPr>
        <w:pStyle w:val="Heading1"/>
        <w:rPr>
          <w:sz w:val="32"/>
          <w:szCs w:val="32"/>
        </w:rPr>
      </w:pPr>
    </w:p>
    <w:p w14:paraId="75E4B33E" w14:textId="557A8BFB" w:rsidR="002D013E" w:rsidRPr="00076282" w:rsidRDefault="004A5913" w:rsidP="004748F8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Accountability and Transparency</w:t>
      </w:r>
      <w:r w:rsidR="0088301E" w:rsidRPr="00076282">
        <w:rPr>
          <w:sz w:val="32"/>
          <w:szCs w:val="32"/>
        </w:rPr>
        <w:t xml:space="preserve"> </w:t>
      </w:r>
    </w:p>
    <w:p w14:paraId="61BD5ACA" w14:textId="77777777" w:rsidR="00CA5846" w:rsidRPr="00FF5DFA" w:rsidRDefault="00B56823" w:rsidP="00AE33E9">
      <w:pPr>
        <w:pStyle w:val="Heading2"/>
      </w:pPr>
      <w:r w:rsidRPr="00FF5DFA">
        <w:t>Purpose of report</w:t>
      </w:r>
    </w:p>
    <w:p w14:paraId="3850EE98" w14:textId="39F5E23F" w:rsidR="00B56823" w:rsidRDefault="00B56823" w:rsidP="00425C92">
      <w:pPr>
        <w:spacing w:before="0" w:after="120" w:line="276" w:lineRule="auto"/>
        <w:ind w:firstLine="0"/>
      </w:pPr>
      <w:r>
        <w:t xml:space="preserve">For </w:t>
      </w:r>
      <w:r w:rsidR="0053795B">
        <w:t>discussion</w:t>
      </w:r>
      <w:r w:rsidR="003A29F0">
        <w:t>.</w:t>
      </w:r>
    </w:p>
    <w:p w14:paraId="13DE16B0" w14:textId="77777777" w:rsidR="00C77025" w:rsidRDefault="00B56823" w:rsidP="00AE33E9">
      <w:pPr>
        <w:pStyle w:val="Heading2"/>
      </w:pPr>
      <w:r>
        <w:t>Summary</w:t>
      </w:r>
    </w:p>
    <w:p w14:paraId="4A190CC4" w14:textId="6BFC53E2" w:rsidR="00B56823" w:rsidRPr="003A29F0" w:rsidRDefault="003A29F0" w:rsidP="00BA5321">
      <w:pPr>
        <w:spacing w:before="0" w:after="160"/>
        <w:ind w:firstLine="0"/>
      </w:pPr>
      <w:r w:rsidRPr="003A29F0">
        <w:t xml:space="preserve">Home Office </w:t>
      </w:r>
      <w:r>
        <w:t xml:space="preserve">officials </w:t>
      </w:r>
      <w:r w:rsidRPr="003A29F0">
        <w:t xml:space="preserve">will be attending </w:t>
      </w:r>
      <w:r>
        <w:t xml:space="preserve">FSMC to discuss with members how </w:t>
      </w:r>
      <w:r w:rsidR="001B6730">
        <w:t xml:space="preserve">accountability and transparency in the fire and rescue sector can be strengthened </w:t>
      </w:r>
      <w:r w:rsidR="00DD2C0D">
        <w:t xml:space="preserve">ahead of the Home Office’s publication of its response to the Fire Reform White Paper. </w:t>
      </w:r>
    </w:p>
    <w:p w14:paraId="6427F619" w14:textId="51A6A03B" w:rsidR="00987523" w:rsidRPr="00076282" w:rsidRDefault="00376FD5" w:rsidP="00C51037">
      <w:pPr>
        <w:ind w:firstLine="0"/>
        <w:rPr>
          <w:b/>
          <w:bCs/>
        </w:rPr>
      </w:pPr>
      <w:r>
        <w:rPr>
          <w:b/>
          <w:bCs/>
        </w:rPr>
        <w:br/>
      </w:r>
      <w:r w:rsidR="00B56823" w:rsidRPr="00D9187A">
        <w:rPr>
          <w:b/>
          <w:bCs/>
        </w:rPr>
        <w:t xml:space="preserve">Is this report confidential? </w:t>
      </w:r>
      <w:r w:rsidR="00076282">
        <w:rPr>
          <w:b/>
          <w:bCs/>
        </w:rPr>
        <w:t xml:space="preserve"> </w:t>
      </w:r>
      <w:r w:rsidR="00B56823" w:rsidRPr="006455C6">
        <w:t xml:space="preserve">No </w:t>
      </w:r>
    </w:p>
    <w:p w14:paraId="6C19035B" w14:textId="3FBC6148" w:rsidR="00987523" w:rsidRDefault="00987523" w:rsidP="00425C92">
      <w:pPr>
        <w:pStyle w:val="Heading3"/>
        <w:pBdr>
          <w:top w:val="single" w:sz="4" w:space="5" w:color="auto"/>
          <w:left w:val="single" w:sz="4" w:space="0" w:color="auto"/>
          <w:bottom w:val="single" w:sz="4" w:space="5" w:color="auto"/>
          <w:right w:val="single" w:sz="4" w:space="4" w:color="auto"/>
        </w:pBdr>
        <w:ind w:firstLine="0"/>
      </w:pPr>
      <w:r>
        <w:t>Recommendations</w:t>
      </w:r>
    </w:p>
    <w:p w14:paraId="7899CE9B" w14:textId="1E594FB6" w:rsidR="00DD2C0D" w:rsidRDefault="00B101EC" w:rsidP="00162B91">
      <w:pPr>
        <w:pBdr>
          <w:top w:val="single" w:sz="4" w:space="5" w:color="auto"/>
          <w:left w:val="single" w:sz="4" w:space="0" w:color="auto"/>
          <w:bottom w:val="single" w:sz="4" w:space="5" w:color="auto"/>
          <w:right w:val="single" w:sz="4" w:space="4" w:color="auto"/>
        </w:pBdr>
        <w:spacing w:after="160"/>
        <w:ind w:firstLine="0"/>
      </w:pPr>
      <w:r>
        <w:t xml:space="preserve">That </w:t>
      </w:r>
      <w:r w:rsidR="00DD2C0D">
        <w:t>m</w:t>
      </w:r>
      <w:r w:rsidR="000770CA">
        <w:t>embers</w:t>
      </w:r>
      <w:r w:rsidR="003F36D1">
        <w:t xml:space="preserve"> note the Home Office presentation and </w:t>
      </w:r>
      <w:r w:rsidR="00096945">
        <w:t xml:space="preserve">provide their views on how accountability and transparency in the fire and rescue sector can be strengthened. </w:t>
      </w:r>
    </w:p>
    <w:p w14:paraId="040BEC48" w14:textId="293F3325" w:rsidR="00162B91" w:rsidRPr="00584BDE" w:rsidRDefault="000770CA" w:rsidP="00162B91">
      <w:pPr>
        <w:pBdr>
          <w:top w:val="single" w:sz="4" w:space="5" w:color="auto"/>
          <w:left w:val="single" w:sz="4" w:space="0" w:color="auto"/>
          <w:bottom w:val="single" w:sz="4" w:space="5" w:color="auto"/>
          <w:right w:val="single" w:sz="4" w:space="4" w:color="auto"/>
        </w:pBdr>
        <w:spacing w:after="160"/>
        <w:ind w:firstLine="0"/>
      </w:pPr>
      <w:r>
        <w:t xml:space="preserve">. </w:t>
      </w:r>
    </w:p>
    <w:p w14:paraId="2BDA80C6" w14:textId="77777777" w:rsidR="001F77A5" w:rsidRDefault="001F77A5" w:rsidP="00AE33E9">
      <w:pPr>
        <w:pStyle w:val="Heading2"/>
      </w:pPr>
      <w:r>
        <w:t>Contact details</w:t>
      </w:r>
    </w:p>
    <w:p w14:paraId="788AFFB2" w14:textId="529C5ACA" w:rsidR="00B56823" w:rsidRDefault="00B56823" w:rsidP="00425C92">
      <w:pPr>
        <w:spacing w:before="0" w:after="120"/>
        <w:ind w:firstLine="0"/>
      </w:pPr>
      <w:r>
        <w:t xml:space="preserve">Contact officer: </w:t>
      </w:r>
      <w:r w:rsidR="0053795B">
        <w:t>Lucy Ellender</w:t>
      </w:r>
    </w:p>
    <w:p w14:paraId="078052B8" w14:textId="31B49A41" w:rsidR="00B56823" w:rsidRDefault="00B56823" w:rsidP="00425C92">
      <w:pPr>
        <w:spacing w:before="0" w:after="120"/>
        <w:ind w:firstLine="0"/>
      </w:pPr>
      <w:r>
        <w:t>Position:</w:t>
      </w:r>
      <w:r w:rsidR="006B26CE">
        <w:t xml:space="preserve"> Senior Adviser</w:t>
      </w:r>
    </w:p>
    <w:p w14:paraId="3FA2BFE5" w14:textId="77E94A2B" w:rsidR="00B56823" w:rsidRDefault="00B56823" w:rsidP="00425C92">
      <w:pPr>
        <w:spacing w:before="0" w:after="120"/>
        <w:ind w:firstLine="0"/>
        <w:rPr>
          <w:rStyle w:val="Hyperlink"/>
        </w:rPr>
      </w:pPr>
      <w:r>
        <w:t>Email:</w:t>
      </w:r>
      <w:r>
        <w:tab/>
      </w:r>
      <w:hyperlink r:id="rId12" w:history="1">
        <w:r w:rsidR="005D5D73" w:rsidRPr="001B59EC">
          <w:rPr>
            <w:rStyle w:val="Hyperlink"/>
          </w:rPr>
          <w:t>lucy.ellender@local.gov.uk</w:t>
        </w:r>
      </w:hyperlink>
    </w:p>
    <w:p w14:paraId="0634A723" w14:textId="30437332" w:rsidR="002E3791" w:rsidRPr="008332C5" w:rsidRDefault="008332C5" w:rsidP="005F1E59">
      <w:pPr>
        <w:spacing w:after="0" w:line="240" w:lineRule="auto"/>
        <w:ind w:firstLine="0"/>
        <w:rPr>
          <w:color w:val="0000FF" w:themeColor="hyperlink"/>
          <w:u w:val="single"/>
        </w:rPr>
      </w:pPr>
      <w:r>
        <w:rPr>
          <w:rStyle w:val="Hyperlink"/>
        </w:rPr>
        <w:br w:type="page"/>
      </w:r>
    </w:p>
    <w:p w14:paraId="460BB77B" w14:textId="782AA3F7" w:rsidR="00076282" w:rsidRDefault="00076282" w:rsidP="004748F8">
      <w:pPr>
        <w:pStyle w:val="Heading1"/>
        <w:rPr>
          <w:sz w:val="32"/>
          <w:szCs w:val="32"/>
        </w:rPr>
      </w:pPr>
      <w:r w:rsidRPr="007B0E3B">
        <w:lastRenderedPageBreak/>
        <w:drawing>
          <wp:anchor distT="0" distB="0" distL="114300" distR="114300" simplePos="0" relativeHeight="251658241" behindDoc="0" locked="0" layoutInCell="1" allowOverlap="1" wp14:anchorId="4A0B4B60" wp14:editId="2F4D7663">
            <wp:simplePos x="0" y="0"/>
            <wp:positionH relativeFrom="column">
              <wp:posOffset>4410075</wp:posOffset>
            </wp:positionH>
            <wp:positionV relativeFrom="paragraph">
              <wp:posOffset>313690</wp:posOffset>
            </wp:positionV>
            <wp:extent cx="1223010" cy="742950"/>
            <wp:effectExtent l="0" t="0" r="0" b="0"/>
            <wp:wrapSquare wrapText="bothSides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D7ACC" w14:textId="14F65CDE" w:rsidR="00447DCB" w:rsidRPr="00076282" w:rsidRDefault="00C07CD7" w:rsidP="004748F8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Accountability and Transparency</w:t>
      </w:r>
    </w:p>
    <w:p w14:paraId="6E96E455" w14:textId="77777777" w:rsidR="00076282" w:rsidRDefault="00076282" w:rsidP="00AE33E9">
      <w:pPr>
        <w:pStyle w:val="Heading2"/>
      </w:pPr>
    </w:p>
    <w:p w14:paraId="61A88C88" w14:textId="632C24B2" w:rsidR="00E81AC5" w:rsidRDefault="00E81AC5" w:rsidP="00AE33E9">
      <w:pPr>
        <w:pStyle w:val="Heading2"/>
      </w:pPr>
      <w:r w:rsidRPr="00AE33E9">
        <w:t>Background</w:t>
      </w:r>
      <w:r w:rsidR="00101F83">
        <w:t xml:space="preserve"> </w:t>
      </w:r>
      <w:r w:rsidR="00101F83" w:rsidRPr="009E5E45">
        <w:rPr>
          <w:color w:val="C00000"/>
        </w:rPr>
        <w:t xml:space="preserve"> </w:t>
      </w:r>
    </w:p>
    <w:p w14:paraId="25D8C2AF" w14:textId="27722534" w:rsidR="00E334C7" w:rsidRDefault="00886358" w:rsidP="00BA5321">
      <w:pPr>
        <w:pStyle w:val="ListParagraph"/>
        <w:numPr>
          <w:ilvl w:val="0"/>
          <w:numId w:val="10"/>
        </w:numPr>
      </w:pPr>
      <w:r>
        <w:t>Following the publication of the Fire Reform White Paper</w:t>
      </w:r>
      <w:r w:rsidR="00A31997">
        <w:t>,</w:t>
      </w:r>
      <w:r w:rsidR="00B37CB7">
        <w:t xml:space="preserve"> the</w:t>
      </w:r>
      <w:r w:rsidR="007B0C86">
        <w:t xml:space="preserve"> Home Office</w:t>
      </w:r>
      <w:r w:rsidR="00B37CB7">
        <w:t xml:space="preserve"> have </w:t>
      </w:r>
      <w:r w:rsidR="00846324">
        <w:t xml:space="preserve">expressed an interest in hearing further suggestions for how the </w:t>
      </w:r>
      <w:r w:rsidR="007B0C86">
        <w:t xml:space="preserve">fire </w:t>
      </w:r>
      <w:r w:rsidR="00846324">
        <w:t>sector can improve its accountability and transparency</w:t>
      </w:r>
      <w:r w:rsidR="00E334C7">
        <w:t>, ahead of any changes in governance</w:t>
      </w:r>
      <w:r w:rsidR="006D010D">
        <w:t xml:space="preserve">. </w:t>
      </w:r>
      <w:r w:rsidR="0041655B">
        <w:t xml:space="preserve">They noted that </w:t>
      </w:r>
      <w:proofErr w:type="gramStart"/>
      <w:r w:rsidR="0041655B">
        <w:t>a number of</w:t>
      </w:r>
      <w:proofErr w:type="gramEnd"/>
      <w:r w:rsidR="0041655B">
        <w:t xml:space="preserve"> areas had suggested that accountability and transparency improvement</w:t>
      </w:r>
      <w:r w:rsidR="00FE0A20">
        <w:t>s</w:t>
      </w:r>
      <w:r w:rsidR="0041655B">
        <w:t xml:space="preserve"> could be made without the need for governance change and are interested to have a discussion with </w:t>
      </w:r>
      <w:r w:rsidR="003E79E8">
        <w:t xml:space="preserve">FSMC </w:t>
      </w:r>
      <w:r w:rsidR="0041655B">
        <w:t xml:space="preserve">members on what those suggestions might be. </w:t>
      </w:r>
    </w:p>
    <w:p w14:paraId="3B8B0627" w14:textId="2183069B" w:rsidR="0090537A" w:rsidRPr="00F3254E" w:rsidRDefault="0090537A" w:rsidP="0090537A">
      <w:pPr>
        <w:ind w:firstLine="0"/>
        <w:rPr>
          <w:b/>
          <w:bCs/>
          <w:sz w:val="28"/>
          <w:szCs w:val="28"/>
        </w:rPr>
      </w:pPr>
      <w:r w:rsidRPr="00F3254E">
        <w:rPr>
          <w:b/>
          <w:bCs/>
          <w:sz w:val="28"/>
          <w:szCs w:val="28"/>
        </w:rPr>
        <w:t xml:space="preserve">The Fire Reform White Paper </w:t>
      </w:r>
    </w:p>
    <w:p w14:paraId="53490D75" w14:textId="34941D39" w:rsidR="0090537A" w:rsidRDefault="00E334C7" w:rsidP="0090537A">
      <w:pPr>
        <w:pStyle w:val="ListParagraph"/>
        <w:numPr>
          <w:ilvl w:val="0"/>
          <w:numId w:val="10"/>
        </w:numPr>
      </w:pPr>
      <w:r>
        <w:t xml:space="preserve">The Fire Reform White Paper </w:t>
      </w:r>
      <w:r w:rsidR="00C0511D">
        <w:t xml:space="preserve">spoke about improving accountability through changes in governance and the use of </w:t>
      </w:r>
      <w:r w:rsidR="00C10F7B">
        <w:t>executive</w:t>
      </w:r>
      <w:r w:rsidR="00C0511D">
        <w:t xml:space="preserve"> leadership</w:t>
      </w:r>
      <w:r w:rsidR="00691401">
        <w:t xml:space="preserve">, saying </w:t>
      </w:r>
      <w:r w:rsidR="00225626">
        <w:t xml:space="preserve">that </w:t>
      </w:r>
      <w:r w:rsidR="00691401">
        <w:t>“effective political oversight would maintain and enhance public accountability”</w:t>
      </w:r>
      <w:r w:rsidR="00A23ADC">
        <w:t>.</w:t>
      </w:r>
      <w:r w:rsidR="00C0511D">
        <w:t xml:space="preserve"> </w:t>
      </w:r>
      <w:r w:rsidR="006D010D">
        <w:t xml:space="preserve">  </w:t>
      </w:r>
    </w:p>
    <w:p w14:paraId="769652A5" w14:textId="5D524CFD" w:rsidR="007D225D" w:rsidRDefault="004F1DA4" w:rsidP="00A35DF3">
      <w:pPr>
        <w:pStyle w:val="ListParagraph"/>
        <w:numPr>
          <w:ilvl w:val="0"/>
          <w:numId w:val="10"/>
        </w:numPr>
      </w:pPr>
      <w:r>
        <w:t xml:space="preserve">The White Paper also states that the lack of executive </w:t>
      </w:r>
      <w:r w:rsidR="000251AF">
        <w:t>o</w:t>
      </w:r>
      <w:r>
        <w:t xml:space="preserve">versight in most </w:t>
      </w:r>
      <w:r w:rsidR="003E79E8">
        <w:t>Fire and Rescue Authorities (</w:t>
      </w:r>
      <w:r>
        <w:t>FRAs</w:t>
      </w:r>
      <w:r w:rsidR="003E79E8">
        <w:t>)</w:t>
      </w:r>
      <w:r>
        <w:t xml:space="preserve"> </w:t>
      </w:r>
      <w:r w:rsidR="0090537A">
        <w:t xml:space="preserve">and the </w:t>
      </w:r>
      <w:r w:rsidR="000251AF">
        <w:t>“</w:t>
      </w:r>
      <w:r w:rsidR="0090537A">
        <w:t>variation and inconsistency between governance models have hampered accountability and transparency for the public.</w:t>
      </w:r>
      <w:r w:rsidR="00547EE0">
        <w:t xml:space="preserve">” The </w:t>
      </w:r>
      <w:r w:rsidR="00C95657">
        <w:t>c</w:t>
      </w:r>
      <w:r w:rsidR="00547EE0">
        <w:t xml:space="preserve">ommittee system is also criticised </w:t>
      </w:r>
      <w:r w:rsidR="0057466E">
        <w:t>saying that unlike P</w:t>
      </w:r>
      <w:r w:rsidR="003A3DE9">
        <w:t xml:space="preserve">olice, </w:t>
      </w:r>
      <w:r w:rsidR="0057466E">
        <w:t>F</w:t>
      </w:r>
      <w:r w:rsidR="003A3DE9">
        <w:t xml:space="preserve">ire and </w:t>
      </w:r>
      <w:r w:rsidR="0057466E">
        <w:t>C</w:t>
      </w:r>
      <w:r w:rsidR="003A3DE9">
        <w:t xml:space="preserve">rime </w:t>
      </w:r>
      <w:r w:rsidR="0057466E">
        <w:t>C</w:t>
      </w:r>
      <w:r w:rsidR="003A3DE9">
        <w:t>ommissioner</w:t>
      </w:r>
      <w:r w:rsidR="0057466E">
        <w:t>s</w:t>
      </w:r>
      <w:r w:rsidR="003A3DE9">
        <w:t xml:space="preserve"> (PFCCs)</w:t>
      </w:r>
      <w:r w:rsidR="0057466E">
        <w:t xml:space="preserve">, or combined authority mayors, it “can slow decision making and impair accountability”. </w:t>
      </w:r>
      <w:r w:rsidR="0089690B">
        <w:t xml:space="preserve">The White Paper </w:t>
      </w:r>
      <w:r w:rsidR="00C34846">
        <w:t xml:space="preserve">states that the Government </w:t>
      </w:r>
      <w:r w:rsidR="001960A8">
        <w:t>believes</w:t>
      </w:r>
      <w:r w:rsidR="00C34846">
        <w:t xml:space="preserve"> that the four PFCCs have “</w:t>
      </w:r>
      <w:r w:rsidR="00A81D73">
        <w:t>strengthened local accountability, enhanced collaboration and</w:t>
      </w:r>
      <w:r w:rsidR="00E47258">
        <w:t xml:space="preserve"> </w:t>
      </w:r>
      <w:r w:rsidR="007D225D">
        <w:t>[made]</w:t>
      </w:r>
      <w:r w:rsidR="00A81D73">
        <w:t xml:space="preserve"> improvements in what their fire services provide the public.</w:t>
      </w:r>
      <w:r w:rsidR="00A35DF3">
        <w:t>”</w:t>
      </w:r>
    </w:p>
    <w:p w14:paraId="2D6227D3" w14:textId="6F459323" w:rsidR="00A35DF3" w:rsidRDefault="00A35DF3" w:rsidP="00A35DF3">
      <w:pPr>
        <w:pStyle w:val="ListParagraph"/>
        <w:numPr>
          <w:ilvl w:val="0"/>
          <w:numId w:val="10"/>
        </w:numPr>
      </w:pPr>
      <w:r>
        <w:t xml:space="preserve">The White paper </w:t>
      </w:r>
      <w:r w:rsidR="00370CE5">
        <w:t>outlined</w:t>
      </w:r>
      <w:r w:rsidR="0004777E">
        <w:t xml:space="preserve"> the Government’s</w:t>
      </w:r>
      <w:r w:rsidR="00370CE5">
        <w:t xml:space="preserve"> principles for good governance and</w:t>
      </w:r>
      <w:r w:rsidR="0004777E">
        <w:t xml:space="preserve"> </w:t>
      </w:r>
      <w:r>
        <w:t xml:space="preserve">asked about </w:t>
      </w:r>
      <w:r w:rsidR="004D6B63">
        <w:t xml:space="preserve">other options for </w:t>
      </w:r>
      <w:r w:rsidR="00B10C64">
        <w:t>fire governance that aligned with th</w:t>
      </w:r>
      <w:r w:rsidR="00370CE5">
        <w:t>ese</w:t>
      </w:r>
      <w:r w:rsidR="00521BCB">
        <w:t>:</w:t>
      </w:r>
    </w:p>
    <w:p w14:paraId="50EE339E" w14:textId="77777777" w:rsidR="00084BB2" w:rsidRPr="00084BB2" w:rsidRDefault="00084BB2" w:rsidP="00084BB2">
      <w:pPr>
        <w:pStyle w:val="ListParagraph"/>
        <w:numPr>
          <w:ilvl w:val="0"/>
          <w:numId w:val="20"/>
        </w:numPr>
        <w:rPr>
          <w:vanish/>
        </w:rPr>
      </w:pPr>
    </w:p>
    <w:p w14:paraId="55C1BAF6" w14:textId="77777777" w:rsidR="00084BB2" w:rsidRPr="00084BB2" w:rsidRDefault="00084BB2" w:rsidP="00084BB2">
      <w:pPr>
        <w:pStyle w:val="ListParagraph"/>
        <w:numPr>
          <w:ilvl w:val="0"/>
          <w:numId w:val="20"/>
        </w:numPr>
        <w:rPr>
          <w:vanish/>
        </w:rPr>
      </w:pPr>
    </w:p>
    <w:p w14:paraId="01EE8312" w14:textId="77777777" w:rsidR="00084BB2" w:rsidRPr="00084BB2" w:rsidRDefault="00084BB2" w:rsidP="00084BB2">
      <w:pPr>
        <w:pStyle w:val="ListParagraph"/>
        <w:numPr>
          <w:ilvl w:val="0"/>
          <w:numId w:val="20"/>
        </w:numPr>
        <w:rPr>
          <w:vanish/>
        </w:rPr>
      </w:pPr>
    </w:p>
    <w:p w14:paraId="12EA5B6E" w14:textId="77777777" w:rsidR="00084BB2" w:rsidRPr="00084BB2" w:rsidRDefault="00084BB2" w:rsidP="00084BB2">
      <w:pPr>
        <w:pStyle w:val="ListParagraph"/>
        <w:numPr>
          <w:ilvl w:val="0"/>
          <w:numId w:val="20"/>
        </w:numPr>
        <w:rPr>
          <w:vanish/>
        </w:rPr>
      </w:pPr>
    </w:p>
    <w:p w14:paraId="10CFFCA7" w14:textId="582CF7ED" w:rsidR="002655A2" w:rsidRDefault="00521BCB" w:rsidP="0041655B">
      <w:pPr>
        <w:pStyle w:val="ListParagraph"/>
        <w:numPr>
          <w:ilvl w:val="1"/>
          <w:numId w:val="25"/>
        </w:numPr>
        <w:ind w:left="1560"/>
      </w:pPr>
      <w:r>
        <w:t xml:space="preserve">there </w:t>
      </w:r>
      <w:r w:rsidR="00D50F6F">
        <w:t>i</w:t>
      </w:r>
      <w:r>
        <w:t>s a single, elected – ideally directly elected – individual who is accountable for the service rather than governance by committee</w:t>
      </w:r>
      <w:r w:rsidR="002F7B6A">
        <w:t>.</w:t>
      </w:r>
      <w:r>
        <w:t xml:space="preserve"> </w:t>
      </w:r>
    </w:p>
    <w:p w14:paraId="041E7302" w14:textId="50301424" w:rsidR="002655A2" w:rsidRDefault="00521BCB" w:rsidP="0041655B">
      <w:pPr>
        <w:pStyle w:val="ListParagraph"/>
        <w:numPr>
          <w:ilvl w:val="1"/>
          <w:numId w:val="25"/>
        </w:numPr>
        <w:ind w:left="1560"/>
      </w:pPr>
      <w:r>
        <w:t>there is clear demarcation between the political and strategic oversight by this individual, and the operationally independent running of the service by the chief fire officer</w:t>
      </w:r>
      <w:r w:rsidR="002F7B6A">
        <w:t>.</w:t>
      </w:r>
      <w:r>
        <w:t xml:space="preserve"> </w:t>
      </w:r>
    </w:p>
    <w:p w14:paraId="6BEFD3E9" w14:textId="5F818922" w:rsidR="002655A2" w:rsidRDefault="00521BCB" w:rsidP="0041655B">
      <w:pPr>
        <w:pStyle w:val="ListParagraph"/>
        <w:numPr>
          <w:ilvl w:val="1"/>
          <w:numId w:val="25"/>
        </w:numPr>
        <w:ind w:left="1560"/>
      </w:pPr>
      <w:r>
        <w:t>that the person with oversight has control of necessary funding and estates</w:t>
      </w:r>
      <w:r w:rsidR="002F7B6A">
        <w:t>.</w:t>
      </w:r>
      <w:r>
        <w:t xml:space="preserve"> </w:t>
      </w:r>
    </w:p>
    <w:p w14:paraId="062A8E9C" w14:textId="0776D850" w:rsidR="00521BCB" w:rsidRDefault="00521BCB" w:rsidP="0041655B">
      <w:pPr>
        <w:pStyle w:val="ListParagraph"/>
        <w:numPr>
          <w:ilvl w:val="1"/>
          <w:numId w:val="25"/>
        </w:numPr>
        <w:ind w:left="1560"/>
      </w:pPr>
      <w:r>
        <w:t>decision-making, including budgets and spending, is transparent and linked to local public priorities</w:t>
      </w:r>
      <w:r w:rsidR="002F7B6A">
        <w:t>.</w:t>
      </w:r>
    </w:p>
    <w:p w14:paraId="35E2DBDF" w14:textId="604F8564" w:rsidR="00521BCB" w:rsidRDefault="00BE5DAB" w:rsidP="00A35DF3">
      <w:pPr>
        <w:pStyle w:val="ListParagraph"/>
        <w:numPr>
          <w:ilvl w:val="0"/>
          <w:numId w:val="10"/>
        </w:numPr>
      </w:pPr>
      <w:r>
        <w:t>There were also proposals around making a clear distinction between strategic and operational planning</w:t>
      </w:r>
      <w:r w:rsidR="004B0180">
        <w:t xml:space="preserve">, with the </w:t>
      </w:r>
      <w:r w:rsidR="00A753CD" w:rsidRPr="00A753CD">
        <w:t xml:space="preserve">Community Risk Management Plan (CRMP) </w:t>
      </w:r>
      <w:r w:rsidR="004B0180">
        <w:t xml:space="preserve">becoming the operational plan under the purview of the chief fire officer and the strategic plan </w:t>
      </w:r>
      <w:r w:rsidR="00AB72BF">
        <w:t xml:space="preserve">established by the FRA that sets the priorities for the service. The operational plan </w:t>
      </w:r>
      <w:r w:rsidR="00AB72BF">
        <w:lastRenderedPageBreak/>
        <w:t xml:space="preserve">would then set out how the strategic priorities would be </w:t>
      </w:r>
      <w:proofErr w:type="gramStart"/>
      <w:r w:rsidR="00AB72BF">
        <w:t>met</w:t>
      </w:r>
      <w:proofErr w:type="gramEnd"/>
      <w:r w:rsidR="00AB72BF">
        <w:t xml:space="preserve"> and the risks mitigated</w:t>
      </w:r>
      <w:r w:rsidR="00887A4C">
        <w:t>.</w:t>
      </w:r>
      <w:r w:rsidR="00317354">
        <w:t xml:space="preserve"> The balanced leadership model, setting out the different responsibilities of chairs and chiefs</w:t>
      </w:r>
      <w:r w:rsidR="003D225F">
        <w:t>, also should be considered in how the Home Office sees the split of responsibility and where they see the role of governance in decision making:</w:t>
      </w:r>
    </w:p>
    <w:tbl>
      <w:tblPr>
        <w:tblStyle w:val="TableGrid"/>
        <w:tblW w:w="0" w:type="auto"/>
        <w:tblInd w:w="454" w:type="dxa"/>
        <w:tblLook w:val="04A0" w:firstRow="1" w:lastRow="0" w:firstColumn="1" w:lastColumn="0" w:noHBand="0" w:noVBand="1"/>
      </w:tblPr>
      <w:tblGrid>
        <w:gridCol w:w="6629"/>
        <w:gridCol w:w="2546"/>
      </w:tblGrid>
      <w:tr w:rsidR="001178FC" w14:paraId="55E99084" w14:textId="77777777" w:rsidTr="00616BEE">
        <w:trPr>
          <w:trHeight w:val="113"/>
        </w:trPr>
        <w:tc>
          <w:tcPr>
            <w:tcW w:w="6629" w:type="dxa"/>
          </w:tcPr>
          <w:p w14:paraId="658D2DF3" w14:textId="707FE8F9" w:rsidR="001178FC" w:rsidRPr="008018E4" w:rsidRDefault="001178FC" w:rsidP="00616BEE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8018E4">
              <w:rPr>
                <w:b/>
                <w:bCs/>
              </w:rPr>
              <w:t>Task</w:t>
            </w:r>
          </w:p>
        </w:tc>
        <w:tc>
          <w:tcPr>
            <w:tcW w:w="2546" w:type="dxa"/>
          </w:tcPr>
          <w:p w14:paraId="7428A25C" w14:textId="338EA518" w:rsidR="001178FC" w:rsidRPr="008018E4" w:rsidRDefault="001178FC" w:rsidP="00616BEE">
            <w:pPr>
              <w:pStyle w:val="ListParagraph"/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8018E4">
              <w:rPr>
                <w:b/>
                <w:bCs/>
              </w:rPr>
              <w:t>Responsible</w:t>
            </w:r>
          </w:p>
        </w:tc>
      </w:tr>
      <w:tr w:rsidR="001178FC" w14:paraId="1F6E8A2C" w14:textId="77777777" w:rsidTr="00616BEE">
        <w:trPr>
          <w:trHeight w:val="113"/>
        </w:trPr>
        <w:tc>
          <w:tcPr>
            <w:tcW w:w="6629" w:type="dxa"/>
          </w:tcPr>
          <w:p w14:paraId="7C5A03C6" w14:textId="06D8E383" w:rsidR="001178FC" w:rsidRDefault="00490DE6" w:rsidP="00616BEE">
            <w:pPr>
              <w:pStyle w:val="ListParagraph"/>
              <w:spacing w:after="0" w:line="240" w:lineRule="auto"/>
              <w:ind w:left="0" w:firstLine="0"/>
              <w:jc w:val="center"/>
            </w:pPr>
            <w:r>
              <w:t>Setting</w:t>
            </w:r>
            <w:r w:rsidR="00616BEE">
              <w:t xml:space="preserve"> </w:t>
            </w:r>
            <w:r>
              <w:t>priorities</w:t>
            </w:r>
          </w:p>
        </w:tc>
        <w:tc>
          <w:tcPr>
            <w:tcW w:w="2546" w:type="dxa"/>
          </w:tcPr>
          <w:p w14:paraId="244FAB62" w14:textId="3E3D9547" w:rsidR="001178FC" w:rsidRDefault="00616BEE" w:rsidP="00616BEE">
            <w:pPr>
              <w:pStyle w:val="ListParagraph"/>
              <w:spacing w:after="0" w:line="240" w:lineRule="auto"/>
              <w:ind w:left="0" w:firstLine="0"/>
              <w:jc w:val="center"/>
            </w:pPr>
            <w:r>
              <w:t>Executive leader</w:t>
            </w:r>
          </w:p>
        </w:tc>
      </w:tr>
      <w:tr w:rsidR="001178FC" w14:paraId="53A33BF7" w14:textId="77777777" w:rsidTr="00616BEE">
        <w:trPr>
          <w:trHeight w:val="113"/>
        </w:trPr>
        <w:tc>
          <w:tcPr>
            <w:tcW w:w="6629" w:type="dxa"/>
          </w:tcPr>
          <w:p w14:paraId="6EB77CF8" w14:textId="7224B80D" w:rsidR="001178FC" w:rsidRDefault="00490DE6" w:rsidP="00616BEE">
            <w:pPr>
              <w:pStyle w:val="ListParagraph"/>
              <w:spacing w:after="0" w:line="240" w:lineRule="auto"/>
              <w:ind w:left="0" w:firstLine="0"/>
              <w:jc w:val="center"/>
            </w:pPr>
            <w:r>
              <w:t>Budget setting</w:t>
            </w:r>
          </w:p>
        </w:tc>
        <w:tc>
          <w:tcPr>
            <w:tcW w:w="2546" w:type="dxa"/>
          </w:tcPr>
          <w:p w14:paraId="10421EC6" w14:textId="01356044" w:rsidR="001178FC" w:rsidRDefault="00616BEE" w:rsidP="00616BEE">
            <w:pPr>
              <w:pStyle w:val="ListParagraph"/>
              <w:spacing w:after="0" w:line="240" w:lineRule="auto"/>
              <w:ind w:left="0" w:firstLine="0"/>
              <w:jc w:val="center"/>
            </w:pPr>
            <w:r>
              <w:t>Executive leader</w:t>
            </w:r>
          </w:p>
        </w:tc>
      </w:tr>
      <w:tr w:rsidR="001178FC" w14:paraId="7BBF5D14" w14:textId="77777777" w:rsidTr="00616BEE">
        <w:trPr>
          <w:trHeight w:val="113"/>
        </w:trPr>
        <w:tc>
          <w:tcPr>
            <w:tcW w:w="6629" w:type="dxa"/>
          </w:tcPr>
          <w:p w14:paraId="384048C0" w14:textId="3D51D9F0" w:rsidR="001178FC" w:rsidRDefault="00490DE6" w:rsidP="00616BEE">
            <w:pPr>
              <w:pStyle w:val="ListParagraph"/>
              <w:spacing w:after="0" w:line="240" w:lineRule="auto"/>
              <w:ind w:left="0" w:firstLine="0"/>
              <w:jc w:val="center"/>
            </w:pPr>
            <w:r>
              <w:t>Setting precept</w:t>
            </w:r>
          </w:p>
        </w:tc>
        <w:tc>
          <w:tcPr>
            <w:tcW w:w="2546" w:type="dxa"/>
          </w:tcPr>
          <w:p w14:paraId="1533B54F" w14:textId="77BABABC" w:rsidR="001178FC" w:rsidRDefault="00616BEE" w:rsidP="00616BEE">
            <w:pPr>
              <w:pStyle w:val="ListParagraph"/>
              <w:spacing w:after="0" w:line="240" w:lineRule="auto"/>
              <w:ind w:left="0" w:firstLine="0"/>
              <w:jc w:val="center"/>
            </w:pPr>
            <w:r>
              <w:t>Executive leader</w:t>
            </w:r>
          </w:p>
        </w:tc>
      </w:tr>
      <w:tr w:rsidR="001178FC" w14:paraId="59FD9BE2" w14:textId="77777777" w:rsidTr="00616BEE">
        <w:trPr>
          <w:trHeight w:val="113"/>
        </w:trPr>
        <w:tc>
          <w:tcPr>
            <w:tcW w:w="6629" w:type="dxa"/>
          </w:tcPr>
          <w:p w14:paraId="7762D01C" w14:textId="7F06F77A" w:rsidR="001178FC" w:rsidRDefault="00490DE6" w:rsidP="00616BEE">
            <w:pPr>
              <w:pStyle w:val="ListParagraph"/>
              <w:spacing w:after="0" w:line="240" w:lineRule="auto"/>
              <w:ind w:left="0" w:firstLine="0"/>
              <w:jc w:val="center"/>
            </w:pPr>
            <w:r>
              <w:t>Setting response standards</w:t>
            </w:r>
          </w:p>
        </w:tc>
        <w:tc>
          <w:tcPr>
            <w:tcW w:w="2546" w:type="dxa"/>
          </w:tcPr>
          <w:p w14:paraId="24D6A827" w14:textId="519ABAAE" w:rsidR="001178FC" w:rsidRDefault="00616BEE" w:rsidP="00616BEE">
            <w:pPr>
              <w:pStyle w:val="ListParagraph"/>
              <w:spacing w:after="0" w:line="240" w:lineRule="auto"/>
              <w:ind w:left="0" w:firstLine="0"/>
              <w:jc w:val="center"/>
            </w:pPr>
            <w:r>
              <w:t>Executive leader</w:t>
            </w:r>
          </w:p>
        </w:tc>
      </w:tr>
      <w:tr w:rsidR="001178FC" w14:paraId="0B437C35" w14:textId="77777777" w:rsidTr="00616BEE">
        <w:trPr>
          <w:trHeight w:val="113"/>
        </w:trPr>
        <w:tc>
          <w:tcPr>
            <w:tcW w:w="6629" w:type="dxa"/>
          </w:tcPr>
          <w:p w14:paraId="71522462" w14:textId="25179C09" w:rsidR="001178FC" w:rsidRDefault="00490DE6" w:rsidP="00616BEE">
            <w:pPr>
              <w:pStyle w:val="ListParagraph"/>
              <w:spacing w:after="0" w:line="240" w:lineRule="auto"/>
              <w:ind w:left="0" w:firstLine="0"/>
              <w:jc w:val="center"/>
            </w:pPr>
            <w:r>
              <w:t>Opening and closing fire stations</w:t>
            </w:r>
          </w:p>
        </w:tc>
        <w:tc>
          <w:tcPr>
            <w:tcW w:w="2546" w:type="dxa"/>
          </w:tcPr>
          <w:p w14:paraId="774ACA65" w14:textId="37F8784F" w:rsidR="001178FC" w:rsidRDefault="00616BEE" w:rsidP="00616BEE">
            <w:pPr>
              <w:pStyle w:val="ListParagraph"/>
              <w:spacing w:after="0" w:line="240" w:lineRule="auto"/>
              <w:ind w:left="0" w:firstLine="0"/>
              <w:jc w:val="center"/>
            </w:pPr>
            <w:r>
              <w:t>Executive leader</w:t>
            </w:r>
          </w:p>
        </w:tc>
      </w:tr>
      <w:tr w:rsidR="001178FC" w14:paraId="02C2CE72" w14:textId="77777777" w:rsidTr="00616BEE">
        <w:trPr>
          <w:trHeight w:val="113"/>
        </w:trPr>
        <w:tc>
          <w:tcPr>
            <w:tcW w:w="6629" w:type="dxa"/>
          </w:tcPr>
          <w:p w14:paraId="3700A5F1" w14:textId="04AEACED" w:rsidR="001178FC" w:rsidRDefault="00490DE6" w:rsidP="00616BEE">
            <w:pPr>
              <w:pStyle w:val="ListParagraph"/>
              <w:spacing w:after="0" w:line="240" w:lineRule="auto"/>
              <w:ind w:left="0" w:firstLine="0"/>
              <w:jc w:val="center"/>
            </w:pPr>
            <w:r>
              <w:t>Appointment and dismissal of chie</w:t>
            </w:r>
            <w:r w:rsidR="00616BEE">
              <w:t>f</w:t>
            </w:r>
            <w:r>
              <w:t xml:space="preserve"> fire officer</w:t>
            </w:r>
          </w:p>
        </w:tc>
        <w:tc>
          <w:tcPr>
            <w:tcW w:w="2546" w:type="dxa"/>
          </w:tcPr>
          <w:p w14:paraId="2EEADA3B" w14:textId="522C3308" w:rsidR="001178FC" w:rsidRDefault="00616BEE" w:rsidP="00616BEE">
            <w:pPr>
              <w:pStyle w:val="ListParagraph"/>
              <w:spacing w:after="0" w:line="240" w:lineRule="auto"/>
              <w:ind w:left="0" w:firstLine="0"/>
              <w:jc w:val="center"/>
            </w:pPr>
            <w:r>
              <w:t>Executive leader</w:t>
            </w:r>
          </w:p>
        </w:tc>
      </w:tr>
      <w:tr w:rsidR="001178FC" w14:paraId="2B5D5A98" w14:textId="77777777" w:rsidTr="00616BEE">
        <w:trPr>
          <w:trHeight w:val="113"/>
        </w:trPr>
        <w:tc>
          <w:tcPr>
            <w:tcW w:w="6629" w:type="dxa"/>
          </w:tcPr>
          <w:p w14:paraId="0676AA0F" w14:textId="36546B9C" w:rsidR="001178FC" w:rsidRDefault="00215A48" w:rsidP="00616BEE">
            <w:pPr>
              <w:pStyle w:val="ListParagraph"/>
              <w:spacing w:after="0" w:line="240" w:lineRule="auto"/>
              <w:ind w:left="0" w:firstLine="0"/>
              <w:jc w:val="center"/>
            </w:pPr>
            <w:r>
              <w:t>Appointment and dismissal of other fire service staff</w:t>
            </w:r>
          </w:p>
        </w:tc>
        <w:tc>
          <w:tcPr>
            <w:tcW w:w="2546" w:type="dxa"/>
          </w:tcPr>
          <w:p w14:paraId="1166AF3C" w14:textId="6507003B" w:rsidR="001178FC" w:rsidRDefault="008018E4" w:rsidP="00616BEE">
            <w:pPr>
              <w:pStyle w:val="ListParagraph"/>
              <w:spacing w:after="0" w:line="240" w:lineRule="auto"/>
              <w:ind w:left="0" w:firstLine="0"/>
              <w:jc w:val="center"/>
            </w:pPr>
            <w:r>
              <w:t>Chief fire officer</w:t>
            </w:r>
          </w:p>
        </w:tc>
      </w:tr>
      <w:tr w:rsidR="00215A48" w14:paraId="32708974" w14:textId="77777777" w:rsidTr="00616BEE">
        <w:trPr>
          <w:trHeight w:val="113"/>
        </w:trPr>
        <w:tc>
          <w:tcPr>
            <w:tcW w:w="6629" w:type="dxa"/>
          </w:tcPr>
          <w:p w14:paraId="38FE8879" w14:textId="1FA5AE45" w:rsidR="00215A48" w:rsidRDefault="00215A48" w:rsidP="00616BEE">
            <w:pPr>
              <w:pStyle w:val="ListParagraph"/>
              <w:spacing w:after="0" w:line="240" w:lineRule="auto"/>
              <w:ind w:left="0" w:firstLine="0"/>
              <w:jc w:val="center"/>
            </w:pPr>
            <w:r>
              <w:t>Allocation of staff to meet strategic priorities</w:t>
            </w:r>
          </w:p>
        </w:tc>
        <w:tc>
          <w:tcPr>
            <w:tcW w:w="2546" w:type="dxa"/>
          </w:tcPr>
          <w:p w14:paraId="17C66DD7" w14:textId="140494A9" w:rsidR="00215A48" w:rsidRDefault="008018E4" w:rsidP="00616BEE">
            <w:pPr>
              <w:pStyle w:val="ListParagraph"/>
              <w:spacing w:after="0" w:line="240" w:lineRule="auto"/>
              <w:ind w:left="0" w:firstLine="0"/>
              <w:jc w:val="center"/>
            </w:pPr>
            <w:r>
              <w:t>Chief fire officer</w:t>
            </w:r>
          </w:p>
        </w:tc>
      </w:tr>
      <w:tr w:rsidR="00215A48" w14:paraId="05211BDE" w14:textId="77777777" w:rsidTr="00616BEE">
        <w:trPr>
          <w:trHeight w:val="113"/>
        </w:trPr>
        <w:tc>
          <w:tcPr>
            <w:tcW w:w="6629" w:type="dxa"/>
          </w:tcPr>
          <w:p w14:paraId="532397B0" w14:textId="7411433D" w:rsidR="00215A48" w:rsidRDefault="00215A48" w:rsidP="00616BEE">
            <w:pPr>
              <w:pStyle w:val="ListParagraph"/>
              <w:spacing w:after="0" w:line="240" w:lineRule="auto"/>
              <w:ind w:left="0" w:firstLine="0"/>
              <w:jc w:val="center"/>
            </w:pPr>
            <w:r>
              <w:t>Configuration and organisation of resources</w:t>
            </w:r>
          </w:p>
        </w:tc>
        <w:tc>
          <w:tcPr>
            <w:tcW w:w="2546" w:type="dxa"/>
          </w:tcPr>
          <w:p w14:paraId="177F2E54" w14:textId="0EC7D9EF" w:rsidR="00215A48" w:rsidRDefault="008018E4" w:rsidP="00616BEE">
            <w:pPr>
              <w:pStyle w:val="ListParagraph"/>
              <w:spacing w:after="0" w:line="240" w:lineRule="auto"/>
              <w:ind w:left="0" w:firstLine="0"/>
              <w:jc w:val="center"/>
            </w:pPr>
            <w:r>
              <w:t>Chief fire officer</w:t>
            </w:r>
          </w:p>
        </w:tc>
      </w:tr>
      <w:tr w:rsidR="00215A48" w14:paraId="0A24B45A" w14:textId="77777777" w:rsidTr="00616BEE">
        <w:trPr>
          <w:trHeight w:val="113"/>
        </w:trPr>
        <w:tc>
          <w:tcPr>
            <w:tcW w:w="6629" w:type="dxa"/>
          </w:tcPr>
          <w:p w14:paraId="690F36FD" w14:textId="0F0F5808" w:rsidR="00215A48" w:rsidRDefault="00215A48" w:rsidP="00616BEE">
            <w:pPr>
              <w:pStyle w:val="ListParagraph"/>
              <w:spacing w:after="0" w:line="240" w:lineRule="auto"/>
              <w:ind w:left="0" w:firstLine="0"/>
              <w:jc w:val="center"/>
            </w:pPr>
            <w:r>
              <w:t xml:space="preserve">Deployment of resources to meet </w:t>
            </w:r>
            <w:r w:rsidR="002D3503">
              <w:t>operational requirements</w:t>
            </w:r>
          </w:p>
        </w:tc>
        <w:tc>
          <w:tcPr>
            <w:tcW w:w="2546" w:type="dxa"/>
          </w:tcPr>
          <w:p w14:paraId="07BD7456" w14:textId="240064B1" w:rsidR="00215A48" w:rsidRDefault="008018E4" w:rsidP="00616BEE">
            <w:pPr>
              <w:pStyle w:val="ListParagraph"/>
              <w:spacing w:after="0" w:line="240" w:lineRule="auto"/>
              <w:ind w:left="0" w:firstLine="0"/>
              <w:jc w:val="center"/>
            </w:pPr>
            <w:r>
              <w:t>Chief fire officer</w:t>
            </w:r>
          </w:p>
        </w:tc>
      </w:tr>
      <w:tr w:rsidR="00215A48" w14:paraId="5197BA4D" w14:textId="77777777" w:rsidTr="00616BEE">
        <w:trPr>
          <w:trHeight w:val="113"/>
        </w:trPr>
        <w:tc>
          <w:tcPr>
            <w:tcW w:w="6629" w:type="dxa"/>
          </w:tcPr>
          <w:p w14:paraId="2815FFF6" w14:textId="7BB9C0EC" w:rsidR="00215A48" w:rsidRDefault="002D3503" w:rsidP="00616BEE">
            <w:pPr>
              <w:pStyle w:val="ListParagraph"/>
              <w:spacing w:after="0" w:line="240" w:lineRule="auto"/>
              <w:ind w:left="0" w:firstLine="0"/>
              <w:jc w:val="center"/>
            </w:pPr>
            <w:r>
              <w:t>Balancing of competing operational needs</w:t>
            </w:r>
          </w:p>
        </w:tc>
        <w:tc>
          <w:tcPr>
            <w:tcW w:w="2546" w:type="dxa"/>
          </w:tcPr>
          <w:p w14:paraId="6F09448D" w14:textId="3E239CFD" w:rsidR="00215A48" w:rsidRDefault="008018E4" w:rsidP="00616BEE">
            <w:pPr>
              <w:pStyle w:val="ListParagraph"/>
              <w:spacing w:after="0" w:line="240" w:lineRule="auto"/>
              <w:ind w:left="0" w:firstLine="0"/>
              <w:jc w:val="center"/>
            </w:pPr>
            <w:r>
              <w:t>Chief fire officer</w:t>
            </w:r>
          </w:p>
        </w:tc>
      </w:tr>
      <w:tr w:rsidR="00215A48" w14:paraId="4AC7B206" w14:textId="77777777" w:rsidTr="00616BEE">
        <w:trPr>
          <w:trHeight w:val="113"/>
        </w:trPr>
        <w:tc>
          <w:tcPr>
            <w:tcW w:w="6629" w:type="dxa"/>
          </w:tcPr>
          <w:p w14:paraId="56158F38" w14:textId="02606968" w:rsidR="00215A48" w:rsidRDefault="002D3503" w:rsidP="00616BEE">
            <w:pPr>
              <w:pStyle w:val="ListParagraph"/>
              <w:spacing w:after="0" w:line="240" w:lineRule="auto"/>
              <w:ind w:left="0" w:firstLine="0"/>
              <w:jc w:val="center"/>
            </w:pPr>
            <w:r>
              <w:t>Expenditure up to certain (delegated) levels</w:t>
            </w:r>
          </w:p>
        </w:tc>
        <w:tc>
          <w:tcPr>
            <w:tcW w:w="2546" w:type="dxa"/>
          </w:tcPr>
          <w:p w14:paraId="14242C64" w14:textId="774A62B5" w:rsidR="00215A48" w:rsidRDefault="008018E4" w:rsidP="00616BEE">
            <w:pPr>
              <w:pStyle w:val="ListParagraph"/>
              <w:spacing w:after="0" w:line="240" w:lineRule="auto"/>
              <w:ind w:left="0" w:firstLine="0"/>
              <w:jc w:val="center"/>
            </w:pPr>
            <w:r>
              <w:t>Chief fire officer</w:t>
            </w:r>
          </w:p>
        </w:tc>
      </w:tr>
    </w:tbl>
    <w:p w14:paraId="5ED21981" w14:textId="77777777" w:rsidR="00B4003D" w:rsidRDefault="00B4003D" w:rsidP="001178FC">
      <w:pPr>
        <w:pStyle w:val="ListParagraph"/>
        <w:ind w:left="454" w:firstLine="0"/>
      </w:pPr>
    </w:p>
    <w:p w14:paraId="27BC32FF" w14:textId="77777777" w:rsidR="00D96D88" w:rsidRDefault="006B15F5" w:rsidP="00D96D88">
      <w:pPr>
        <w:pStyle w:val="ListParagraph"/>
        <w:numPr>
          <w:ilvl w:val="0"/>
          <w:numId w:val="10"/>
        </w:numPr>
      </w:pPr>
      <w:r>
        <w:t>T</w:t>
      </w:r>
      <w:r w:rsidR="00257462">
        <w:t>he intention is to have</w:t>
      </w:r>
      <w:r>
        <w:t xml:space="preserve"> a brighter line defini</w:t>
      </w:r>
      <w:r w:rsidR="00257462">
        <w:t xml:space="preserve">ng the different roles of the strategic and operational leadership. </w:t>
      </w:r>
    </w:p>
    <w:p w14:paraId="55DD5574" w14:textId="1A38445B" w:rsidR="00D96D88" w:rsidRPr="00D96D88" w:rsidRDefault="00CD1B19" w:rsidP="00D96D88">
      <w:pPr>
        <w:pStyle w:val="ListParagraph"/>
        <w:numPr>
          <w:ilvl w:val="0"/>
          <w:numId w:val="10"/>
        </w:numPr>
      </w:pPr>
      <w:r>
        <w:t xml:space="preserve">Within </w:t>
      </w:r>
      <w:r w:rsidR="00E77AF5">
        <w:t xml:space="preserve">the LGA’s </w:t>
      </w:r>
      <w:r>
        <w:t>response to the Home Office we</w:t>
      </w:r>
      <w:r w:rsidR="006F77C1">
        <w:t xml:space="preserve"> </w:t>
      </w:r>
      <w:r>
        <w:t xml:space="preserve">set </w:t>
      </w:r>
      <w:r w:rsidR="006F77C1">
        <w:t xml:space="preserve">forward </w:t>
      </w:r>
      <w:proofErr w:type="gramStart"/>
      <w:r>
        <w:t>a number of</w:t>
      </w:r>
      <w:proofErr w:type="gramEnd"/>
      <w:r>
        <w:t xml:space="preserve"> different models </w:t>
      </w:r>
      <w:r w:rsidR="00952A69">
        <w:t>that could provide a starting point for further discussion with the Home Office, they were:</w:t>
      </w:r>
    </w:p>
    <w:p w14:paraId="3AA87C54" w14:textId="4E1ADFCB" w:rsidR="00D96D88" w:rsidRPr="00D96D88" w:rsidRDefault="00D96D88" w:rsidP="00D96D88">
      <w:pPr>
        <w:pStyle w:val="ListParagraph"/>
        <w:numPr>
          <w:ilvl w:val="1"/>
          <w:numId w:val="10"/>
        </w:numPr>
      </w:pPr>
      <w:r w:rsidRPr="00D96D88">
        <w:rPr>
          <w:rFonts w:cs="Arial"/>
          <w:shd w:val="clear" w:color="auto" w:fill="FFFFFF"/>
        </w:rPr>
        <w:t>Greater delegation of decisions to the chair of the FRA</w:t>
      </w:r>
      <w:r w:rsidR="002F7B6A">
        <w:rPr>
          <w:rFonts w:cs="Arial"/>
          <w:shd w:val="clear" w:color="auto" w:fill="FFFFFF"/>
        </w:rPr>
        <w:t xml:space="preserve"> (Option 1)</w:t>
      </w:r>
      <w:r w:rsidRPr="00D96D88">
        <w:rPr>
          <w:rFonts w:cs="Arial"/>
          <w:shd w:val="clear" w:color="auto" w:fill="FFFFFF"/>
        </w:rPr>
        <w:t>.</w:t>
      </w:r>
    </w:p>
    <w:p w14:paraId="0964D73C" w14:textId="3E38C51D" w:rsidR="00D96D88" w:rsidRPr="00D96D88" w:rsidRDefault="00D96D88" w:rsidP="00D96D88">
      <w:pPr>
        <w:pStyle w:val="ListParagraph"/>
        <w:numPr>
          <w:ilvl w:val="1"/>
          <w:numId w:val="10"/>
        </w:numPr>
      </w:pPr>
      <w:r w:rsidRPr="00D96D88">
        <w:rPr>
          <w:rFonts w:cs="Arial"/>
          <w:shd w:val="clear" w:color="auto" w:fill="FFFFFF"/>
        </w:rPr>
        <w:t>Create a cabinet/scrutiny model for governance on both metropolitan authorities and combined authorities</w:t>
      </w:r>
      <w:r w:rsidR="002F7B6A">
        <w:rPr>
          <w:rFonts w:cs="Arial"/>
          <w:shd w:val="clear" w:color="auto" w:fill="FFFFFF"/>
        </w:rPr>
        <w:t xml:space="preserve"> (Option 2)</w:t>
      </w:r>
      <w:r w:rsidRPr="00D96D88">
        <w:rPr>
          <w:rFonts w:cs="Arial"/>
          <w:shd w:val="clear" w:color="auto" w:fill="FFFFFF"/>
        </w:rPr>
        <w:t>.</w:t>
      </w:r>
    </w:p>
    <w:p w14:paraId="1FAF40E9" w14:textId="2ED31D40" w:rsidR="00D96D88" w:rsidRPr="00D96D88" w:rsidRDefault="00D96D88" w:rsidP="00D96D88">
      <w:pPr>
        <w:pStyle w:val="ListParagraph"/>
        <w:numPr>
          <w:ilvl w:val="1"/>
          <w:numId w:val="10"/>
        </w:numPr>
      </w:pPr>
      <w:r w:rsidRPr="00D96D88">
        <w:rPr>
          <w:rFonts w:cs="Arial"/>
          <w:shd w:val="clear" w:color="auto" w:fill="FFFFFF"/>
        </w:rPr>
        <w:t>Metropolitan and combined authorities reorganise themselves to create a small management committee to exercise an authority’s executive functions, which would then be scrutinised and supported by/accountable to the full authority</w:t>
      </w:r>
      <w:r w:rsidR="002F7B6A">
        <w:rPr>
          <w:rFonts w:cs="Arial"/>
          <w:shd w:val="clear" w:color="auto" w:fill="FFFFFF"/>
        </w:rPr>
        <w:t xml:space="preserve"> (Option 3)</w:t>
      </w:r>
      <w:r w:rsidRPr="00D96D88">
        <w:rPr>
          <w:rFonts w:cs="Arial"/>
          <w:shd w:val="clear" w:color="auto" w:fill="FFFFFF"/>
        </w:rPr>
        <w:t>.</w:t>
      </w:r>
    </w:p>
    <w:p w14:paraId="1AE89B75" w14:textId="64ED1932" w:rsidR="00D96D88" w:rsidRPr="00D96D88" w:rsidRDefault="00D96D88" w:rsidP="002B3E1B">
      <w:pPr>
        <w:pStyle w:val="ListParagraph"/>
        <w:numPr>
          <w:ilvl w:val="0"/>
          <w:numId w:val="10"/>
        </w:numPr>
      </w:pPr>
      <w:r w:rsidRPr="00D96D88">
        <w:rPr>
          <w:rFonts w:cs="Arial"/>
          <w:shd w:val="clear" w:color="auto" w:fill="FFFFFF"/>
        </w:rPr>
        <w:t>Option 3 could be introduced without the need for primary legislation, though it would be needed in the case of options 1 and 2.</w:t>
      </w:r>
    </w:p>
    <w:p w14:paraId="2F913949" w14:textId="4BED99F2" w:rsidR="002B3E1B" w:rsidRDefault="00952A69" w:rsidP="002B3E1B">
      <w:pPr>
        <w:pStyle w:val="ListParagraph"/>
        <w:numPr>
          <w:ilvl w:val="0"/>
          <w:numId w:val="10"/>
        </w:numPr>
      </w:pPr>
      <w:r>
        <w:t xml:space="preserve">However, we understand that the Home Office are interested in a wide variety of ideas, </w:t>
      </w:r>
      <w:r w:rsidR="007C5B71">
        <w:t xml:space="preserve">that would not necessarily be </w:t>
      </w:r>
      <w:r w:rsidR="00B936B0">
        <w:t xml:space="preserve">linked with changes to governance structures. </w:t>
      </w:r>
    </w:p>
    <w:p w14:paraId="254D4B6F" w14:textId="37576A2E" w:rsidR="00FD5E4E" w:rsidRPr="002B3E1B" w:rsidRDefault="00FD5E4E" w:rsidP="002B3E1B">
      <w:pPr>
        <w:ind w:firstLine="0"/>
      </w:pPr>
      <w:r w:rsidRPr="002B3E1B">
        <w:rPr>
          <w:b/>
          <w:bCs/>
          <w:sz w:val="28"/>
          <w:szCs w:val="28"/>
        </w:rPr>
        <w:t xml:space="preserve">National Fire </w:t>
      </w:r>
      <w:r w:rsidR="002B3E1B" w:rsidRPr="002B3E1B">
        <w:rPr>
          <w:b/>
          <w:bCs/>
          <w:sz w:val="28"/>
          <w:szCs w:val="28"/>
        </w:rPr>
        <w:t>Framework</w:t>
      </w:r>
    </w:p>
    <w:p w14:paraId="2C0A5444" w14:textId="77777777" w:rsidR="005937C1" w:rsidRDefault="00FD5E4E" w:rsidP="005937C1">
      <w:pPr>
        <w:pStyle w:val="ListParagraph"/>
        <w:numPr>
          <w:ilvl w:val="0"/>
          <w:numId w:val="10"/>
        </w:numPr>
      </w:pPr>
      <w:r w:rsidRPr="002B7C9E">
        <w:t xml:space="preserve">The current </w:t>
      </w:r>
      <w:r w:rsidR="002B7C9E" w:rsidRPr="002B7C9E">
        <w:t>National</w:t>
      </w:r>
      <w:r w:rsidRPr="002B7C9E">
        <w:t xml:space="preserve"> Fire Framework</w:t>
      </w:r>
      <w:r w:rsidR="00FD069A">
        <w:t xml:space="preserve"> outlines the importance of accountability and says that in demonstrating their accountability to communities FRAs need to:</w:t>
      </w:r>
    </w:p>
    <w:p w14:paraId="0E92E317" w14:textId="77777777" w:rsidR="00304CA7" w:rsidRDefault="005937C1" w:rsidP="00E77AF5">
      <w:pPr>
        <w:pStyle w:val="ListParagraph"/>
        <w:numPr>
          <w:ilvl w:val="0"/>
          <w:numId w:val="24"/>
        </w:numPr>
        <w:ind w:left="1843" w:hanging="567"/>
      </w:pPr>
      <w:r>
        <w:t xml:space="preserve">be transparent and accountable to their communities for their decisions and </w:t>
      </w:r>
      <w:proofErr w:type="gramStart"/>
      <w:r>
        <w:t>actions;</w:t>
      </w:r>
      <w:proofErr w:type="gramEnd"/>
      <w:r>
        <w:t xml:space="preserve"> </w:t>
      </w:r>
    </w:p>
    <w:p w14:paraId="1BF9745B" w14:textId="77777777" w:rsidR="00304CA7" w:rsidRDefault="005937C1" w:rsidP="00E77AF5">
      <w:pPr>
        <w:pStyle w:val="ListParagraph"/>
        <w:numPr>
          <w:ilvl w:val="0"/>
          <w:numId w:val="24"/>
        </w:numPr>
        <w:ind w:left="1843" w:hanging="567"/>
      </w:pPr>
      <w:r>
        <w:t xml:space="preserve">provide the opportunity for communities to help to plan their local service through effective consultation and involvement; and </w:t>
      </w:r>
    </w:p>
    <w:p w14:paraId="33BDF9EF" w14:textId="2640B8AC" w:rsidR="00FD069A" w:rsidRDefault="005937C1" w:rsidP="00E77AF5">
      <w:pPr>
        <w:pStyle w:val="ListParagraph"/>
        <w:numPr>
          <w:ilvl w:val="0"/>
          <w:numId w:val="24"/>
        </w:numPr>
        <w:ind w:left="1843" w:hanging="567"/>
      </w:pPr>
      <w:r>
        <w:lastRenderedPageBreak/>
        <w:t>have scrutiny arrangements in place that reflect the high standard communities expect for an important public safety service.</w:t>
      </w:r>
    </w:p>
    <w:p w14:paraId="2D693D33" w14:textId="6368E9BD" w:rsidR="005937C1" w:rsidRPr="002B7C9E" w:rsidRDefault="007135A5" w:rsidP="00436B26">
      <w:pPr>
        <w:pStyle w:val="ListParagraph"/>
        <w:numPr>
          <w:ilvl w:val="0"/>
          <w:numId w:val="10"/>
        </w:numPr>
      </w:pPr>
      <w:r>
        <w:t>T</w:t>
      </w:r>
      <w:r w:rsidR="00015F93">
        <w:t xml:space="preserve">here is no requirement for </w:t>
      </w:r>
      <w:r w:rsidR="00EE5E89">
        <w:t>FRAs to have an overview and scrutiny function in legislation</w:t>
      </w:r>
      <w:r>
        <w:t>,</w:t>
      </w:r>
      <w:r w:rsidR="00EE5E89">
        <w:t xml:space="preserve"> unlike councils</w:t>
      </w:r>
      <w:r>
        <w:t xml:space="preserve"> </w:t>
      </w:r>
      <w:r w:rsidR="0085023E">
        <w:t xml:space="preserve">which are required to have them due to </w:t>
      </w:r>
      <w:r>
        <w:t>the Local Government Act 2000</w:t>
      </w:r>
      <w:r w:rsidR="009963F8">
        <w:t xml:space="preserve"> (apart from county council services)</w:t>
      </w:r>
      <w:r w:rsidR="001E57FE">
        <w:t>. However, t</w:t>
      </w:r>
      <w:r w:rsidR="00EE5E89">
        <w:t>he mention of scrutiny within the Fire Framework does provide FRAs with the ability to set up scrutiny arrangements.</w:t>
      </w:r>
      <w:r w:rsidR="001E57FE">
        <w:t xml:space="preserve"> </w:t>
      </w:r>
      <w:r w:rsidR="001E57FE" w:rsidRPr="00E855CD">
        <w:rPr>
          <w:b/>
          <w:bCs/>
        </w:rPr>
        <w:t>Appendix A</w:t>
      </w:r>
      <w:r w:rsidR="001E57FE">
        <w:t xml:space="preserve"> outlines the committees FRAs already have in place</w:t>
      </w:r>
      <w:r w:rsidR="00E855CD">
        <w:t xml:space="preserve">. </w:t>
      </w:r>
      <w:r w:rsidR="00EE5E89">
        <w:t xml:space="preserve"> </w:t>
      </w:r>
    </w:p>
    <w:p w14:paraId="76313783" w14:textId="5E07AABC" w:rsidR="00B4003D" w:rsidRPr="00E77AF5" w:rsidRDefault="003D225F" w:rsidP="00E77AF5">
      <w:pPr>
        <w:ind w:firstLine="0"/>
        <w:rPr>
          <w:b/>
          <w:bCs/>
          <w:sz w:val="28"/>
          <w:szCs w:val="28"/>
        </w:rPr>
      </w:pPr>
      <w:r w:rsidRPr="00E77AF5">
        <w:rPr>
          <w:b/>
          <w:bCs/>
          <w:sz w:val="28"/>
          <w:szCs w:val="28"/>
        </w:rPr>
        <w:t xml:space="preserve">LGA work </w:t>
      </w:r>
    </w:p>
    <w:p w14:paraId="56D85A62" w14:textId="67928394" w:rsidR="00D75F72" w:rsidRDefault="00A819FC" w:rsidP="004B4011">
      <w:pPr>
        <w:pStyle w:val="ListParagraph"/>
        <w:numPr>
          <w:ilvl w:val="0"/>
          <w:numId w:val="10"/>
        </w:numPr>
      </w:pPr>
      <w:r>
        <w:t>Our “</w:t>
      </w:r>
      <w:hyperlink r:id="rId13" w:history="1">
        <w:r w:rsidR="00D75F72" w:rsidRPr="00584399">
          <w:rPr>
            <w:rStyle w:val="Hyperlink"/>
          </w:rPr>
          <w:t>Leading the fire sector</w:t>
        </w:r>
      </w:hyperlink>
      <w:r>
        <w:t>”</w:t>
      </w:r>
      <w:r w:rsidR="00D75F72">
        <w:t xml:space="preserve"> </w:t>
      </w:r>
      <w:r w:rsidR="004B4011">
        <w:t xml:space="preserve">document </w:t>
      </w:r>
      <w:r w:rsidR="00D75F72">
        <w:t>contains 6 conditio</w:t>
      </w:r>
      <w:r w:rsidR="004B4011">
        <w:t>n</w:t>
      </w:r>
      <w:r w:rsidR="00D75F72">
        <w:t xml:space="preserve">s for effective </w:t>
      </w:r>
      <w:r w:rsidR="004B4011">
        <w:t>performance</w:t>
      </w:r>
      <w:r w:rsidR="00D75F72">
        <w:t xml:space="preserve"> oversight:</w:t>
      </w:r>
    </w:p>
    <w:p w14:paraId="7912FDF5" w14:textId="77777777" w:rsidR="007E2B4D" w:rsidRPr="007E2B4D" w:rsidRDefault="007E2B4D" w:rsidP="007E2B4D">
      <w:pPr>
        <w:pStyle w:val="ListParagraph"/>
        <w:numPr>
          <w:ilvl w:val="1"/>
          <w:numId w:val="10"/>
        </w:numPr>
      </w:pPr>
      <w:r w:rsidRPr="007E2B4D">
        <w:t>Responsibility for performance oversight must be clearly assigned</w:t>
      </w:r>
    </w:p>
    <w:p w14:paraId="68A5A034" w14:textId="77777777" w:rsidR="007E2B4D" w:rsidRPr="007E2B4D" w:rsidRDefault="007E2B4D" w:rsidP="007E2B4D">
      <w:pPr>
        <w:pStyle w:val="ListParagraph"/>
        <w:numPr>
          <w:ilvl w:val="1"/>
          <w:numId w:val="10"/>
        </w:numPr>
      </w:pPr>
      <w:r w:rsidRPr="007E2B4D">
        <w:t xml:space="preserve"> FRA members must have a positive attitude towards scrutiny</w:t>
      </w:r>
    </w:p>
    <w:p w14:paraId="34FFE300" w14:textId="77777777" w:rsidR="007E2B4D" w:rsidRPr="007E2B4D" w:rsidRDefault="007E2B4D" w:rsidP="007E2B4D">
      <w:pPr>
        <w:pStyle w:val="ListParagraph"/>
        <w:numPr>
          <w:ilvl w:val="1"/>
          <w:numId w:val="10"/>
        </w:numPr>
      </w:pPr>
      <w:r w:rsidRPr="007E2B4D">
        <w:t xml:space="preserve"> Senior officers must have a positive attitude towards scrutiny</w:t>
      </w:r>
    </w:p>
    <w:p w14:paraId="57B4575B" w14:textId="77777777" w:rsidR="007E2B4D" w:rsidRPr="007E2B4D" w:rsidRDefault="007E2B4D" w:rsidP="007E2B4D">
      <w:pPr>
        <w:pStyle w:val="ListParagraph"/>
        <w:numPr>
          <w:ilvl w:val="1"/>
          <w:numId w:val="10"/>
        </w:numPr>
      </w:pPr>
      <w:r w:rsidRPr="007E2B4D">
        <w:t xml:space="preserve"> Arrangements for effective work programming must be in place</w:t>
      </w:r>
    </w:p>
    <w:p w14:paraId="4F6DBD2B" w14:textId="0C61B9AE" w:rsidR="007E2B4D" w:rsidRPr="007E2B4D" w:rsidRDefault="007E2B4D" w:rsidP="004B4011">
      <w:pPr>
        <w:pStyle w:val="ListParagraph"/>
        <w:numPr>
          <w:ilvl w:val="1"/>
          <w:numId w:val="10"/>
        </w:numPr>
      </w:pPr>
      <w:r w:rsidRPr="007E2B4D">
        <w:t xml:space="preserve"> Those undertaking scrutiny must have access to a range of reliable information from a variety of sources</w:t>
      </w:r>
    </w:p>
    <w:p w14:paraId="391AD4CF" w14:textId="1B6F6E0F" w:rsidR="007E2B4D" w:rsidRDefault="007E2B4D" w:rsidP="007C5337">
      <w:pPr>
        <w:pStyle w:val="ListParagraph"/>
        <w:numPr>
          <w:ilvl w:val="1"/>
          <w:numId w:val="10"/>
        </w:numPr>
      </w:pPr>
      <w:r w:rsidRPr="007E2B4D">
        <w:t xml:space="preserve"> Those undertaking scrutiny must</w:t>
      </w:r>
      <w:r w:rsidR="004B4011">
        <w:t xml:space="preserve"> possess/have access to </w:t>
      </w:r>
      <w:r w:rsidRPr="007E2B4D">
        <w:t>the knowledge and skills necessary to do so effectively</w:t>
      </w:r>
    </w:p>
    <w:p w14:paraId="6B060DF7" w14:textId="46BEFEB3" w:rsidR="00C237C8" w:rsidRDefault="00F26364" w:rsidP="00A35DF3">
      <w:pPr>
        <w:pStyle w:val="ListParagraph"/>
        <w:numPr>
          <w:ilvl w:val="0"/>
          <w:numId w:val="10"/>
        </w:numPr>
      </w:pPr>
      <w:r>
        <w:t>We subsequen</w:t>
      </w:r>
      <w:r w:rsidR="00C237C8">
        <w:t xml:space="preserve">tly undertook training and created videos </w:t>
      </w:r>
      <w:r w:rsidR="003E1EE9">
        <w:t xml:space="preserve">around </w:t>
      </w:r>
      <w:r w:rsidR="00C237C8">
        <w:t xml:space="preserve">using these </w:t>
      </w:r>
      <w:r w:rsidR="003E1EE9">
        <w:t xml:space="preserve">six </w:t>
      </w:r>
      <w:r w:rsidR="00731073">
        <w:t>c</w:t>
      </w:r>
      <w:r w:rsidR="00322616">
        <w:t>ondition</w:t>
      </w:r>
      <w:r w:rsidR="00A71058">
        <w:t>s</w:t>
      </w:r>
      <w:r w:rsidR="00C237C8">
        <w:t xml:space="preserve"> and the principles of good governance</w:t>
      </w:r>
      <w:r w:rsidR="006511BC">
        <w:t xml:space="preserve"> from </w:t>
      </w:r>
      <w:r w:rsidR="00AC46FE">
        <w:t>“</w:t>
      </w:r>
      <w:hyperlink r:id="rId14" w:history="1">
        <w:r w:rsidR="00AC46FE" w:rsidRPr="00880941">
          <w:rPr>
            <w:rStyle w:val="Hyperlink"/>
          </w:rPr>
          <w:t>The International Framework: Good Governance in the Public Sector</w:t>
        </w:r>
      </w:hyperlink>
      <w:r w:rsidR="00AC46FE">
        <w:t>”</w:t>
      </w:r>
      <w:r w:rsidR="00880941">
        <w:t xml:space="preserve"> produced by the International Federation of Account</w:t>
      </w:r>
      <w:r w:rsidR="00D24054">
        <w:t>ant</w:t>
      </w:r>
      <w:r w:rsidR="00880941">
        <w:t xml:space="preserve">s and </w:t>
      </w:r>
      <w:r w:rsidR="00CA7382">
        <w:t>the Chartered Institute of Public Finance and Accountancy (</w:t>
      </w:r>
      <w:r w:rsidR="00880941">
        <w:t>CIPFA</w:t>
      </w:r>
      <w:r w:rsidR="00CA7382">
        <w:t>)</w:t>
      </w:r>
      <w:r w:rsidR="00A71058">
        <w:t>.</w:t>
      </w:r>
    </w:p>
    <w:p w14:paraId="62766328" w14:textId="59CE7899" w:rsidR="003D225F" w:rsidRDefault="006511BC" w:rsidP="00A35DF3">
      <w:pPr>
        <w:pStyle w:val="ListParagraph"/>
        <w:numPr>
          <w:ilvl w:val="0"/>
          <w:numId w:val="10"/>
        </w:numPr>
      </w:pPr>
      <w:r>
        <w:t>More recently colleagues in</w:t>
      </w:r>
      <w:r w:rsidR="00D841A9">
        <w:t xml:space="preserve"> LGA improvement have been approached by </w:t>
      </w:r>
      <w:proofErr w:type="gramStart"/>
      <w:r w:rsidR="00D841A9">
        <w:t>a number of</w:t>
      </w:r>
      <w:proofErr w:type="gramEnd"/>
      <w:r w:rsidR="00D841A9">
        <w:t xml:space="preserve"> FRAs for help in ensuring that their governance is fit for purpose. </w:t>
      </w:r>
      <w:r w:rsidR="00544E4B">
        <w:t>They have done some initial work with a number of FRAs based on the RACI Framework</w:t>
      </w:r>
      <w:r w:rsidR="00340577">
        <w:t xml:space="preserve"> and the</w:t>
      </w:r>
      <w:r w:rsidR="00DC6D57">
        <w:t xml:space="preserve"> work contained within “</w:t>
      </w:r>
      <w:hyperlink r:id="rId15" w:history="1">
        <w:r w:rsidR="00DC6D57" w:rsidRPr="00DC6D57">
          <w:rPr>
            <w:rStyle w:val="Hyperlink"/>
          </w:rPr>
          <w:t>Leading the Fire Sector</w:t>
        </w:r>
      </w:hyperlink>
      <w:r w:rsidR="00DC6D57">
        <w:t>”. T</w:t>
      </w:r>
      <w:r w:rsidR="00E608B5">
        <w:t xml:space="preserve">his has been delivered by officers, with member support. </w:t>
      </w:r>
      <w:r w:rsidR="00474AFD">
        <w:t xml:space="preserve"> </w:t>
      </w:r>
    </w:p>
    <w:p w14:paraId="65CD402D" w14:textId="78167078" w:rsidR="001A230B" w:rsidRDefault="00A14B34" w:rsidP="00571600">
      <w:pPr>
        <w:pStyle w:val="ListParagraph"/>
        <w:numPr>
          <w:ilvl w:val="0"/>
          <w:numId w:val="10"/>
        </w:numPr>
      </w:pPr>
      <w:r>
        <w:t xml:space="preserve">The RACI </w:t>
      </w:r>
      <w:r w:rsidR="00571600">
        <w:t>acronym stands for:</w:t>
      </w:r>
    </w:p>
    <w:p w14:paraId="25202E41" w14:textId="24E1CCFC" w:rsidR="001A7CBE" w:rsidRPr="001A7CBE" w:rsidRDefault="001A7CBE" w:rsidP="00492251">
      <w:pPr>
        <w:pStyle w:val="ListParagraph"/>
        <w:numPr>
          <w:ilvl w:val="1"/>
          <w:numId w:val="10"/>
        </w:numPr>
      </w:pPr>
      <w:r w:rsidRPr="001A7CBE">
        <w:rPr>
          <w:b/>
          <w:bCs/>
        </w:rPr>
        <w:t>Responsible</w:t>
      </w:r>
      <w:r>
        <w:rPr>
          <w:b/>
          <w:bCs/>
        </w:rPr>
        <w:t xml:space="preserve">: </w:t>
      </w:r>
      <w:r w:rsidRPr="001A7CBE">
        <w:t xml:space="preserve">Means those who </w:t>
      </w:r>
      <w:proofErr w:type="gramStart"/>
      <w:r w:rsidRPr="001A7CBE">
        <w:t>actually deliver</w:t>
      </w:r>
      <w:proofErr w:type="gramEnd"/>
      <w:r w:rsidRPr="001A7CBE">
        <w:t xml:space="preserve"> the work.</w:t>
      </w:r>
    </w:p>
    <w:p w14:paraId="51B1B9D5" w14:textId="55738084" w:rsidR="001A7CBE" w:rsidRPr="001A7CBE" w:rsidRDefault="001A7CBE" w:rsidP="00492251">
      <w:pPr>
        <w:pStyle w:val="ListParagraph"/>
        <w:numPr>
          <w:ilvl w:val="1"/>
          <w:numId w:val="10"/>
        </w:numPr>
      </w:pPr>
      <w:r w:rsidRPr="001A7CBE">
        <w:rPr>
          <w:b/>
          <w:bCs/>
        </w:rPr>
        <w:t>Accountabl</w:t>
      </w:r>
      <w:r>
        <w:rPr>
          <w:b/>
          <w:bCs/>
        </w:rPr>
        <w:t xml:space="preserve">e: </w:t>
      </w:r>
      <w:r w:rsidRPr="001A7CBE">
        <w:t xml:space="preserve">Means the person or persons (or member level body) who are ultimately answerable for </w:t>
      </w:r>
      <w:r w:rsidR="0073233C">
        <w:t xml:space="preserve">the </w:t>
      </w:r>
      <w:r w:rsidRPr="001A7CBE">
        <w:t>activity or decision – it is often expressed as those having Yes/No/Veto power.</w:t>
      </w:r>
    </w:p>
    <w:p w14:paraId="1C7B91D0" w14:textId="4B161ECB" w:rsidR="001A7CBE" w:rsidRPr="001A7CBE" w:rsidRDefault="001A7CBE" w:rsidP="00492251">
      <w:pPr>
        <w:pStyle w:val="ListParagraph"/>
        <w:numPr>
          <w:ilvl w:val="1"/>
          <w:numId w:val="10"/>
        </w:numPr>
      </w:pPr>
      <w:r w:rsidRPr="001A7CBE">
        <w:rPr>
          <w:b/>
          <w:bCs/>
        </w:rPr>
        <w:t>Consulted</w:t>
      </w:r>
      <w:r>
        <w:rPr>
          <w:b/>
          <w:bCs/>
        </w:rPr>
        <w:t xml:space="preserve">: </w:t>
      </w:r>
      <w:r w:rsidRPr="001A7CBE">
        <w:t xml:space="preserve">Reflects that every deliverable is strengthened by review and consultation and parties can provide input based on their skills, </w:t>
      </w:r>
      <w:proofErr w:type="gramStart"/>
      <w:r w:rsidRPr="001A7CBE">
        <w:t>knowledge</w:t>
      </w:r>
      <w:proofErr w:type="gramEnd"/>
      <w:r w:rsidRPr="001A7CBE">
        <w:t xml:space="preserve"> and experience – genuine consultation must be listened to and there must be genuine opportunities to influence.</w:t>
      </w:r>
    </w:p>
    <w:p w14:paraId="3675F4B4" w14:textId="3EDD6994" w:rsidR="001A7CBE" w:rsidRDefault="001A7CBE" w:rsidP="001F41E3">
      <w:pPr>
        <w:pStyle w:val="ListParagraph"/>
        <w:numPr>
          <w:ilvl w:val="1"/>
          <w:numId w:val="10"/>
        </w:numPr>
      </w:pPr>
      <w:r w:rsidRPr="001A7CBE">
        <w:rPr>
          <w:b/>
          <w:bCs/>
        </w:rPr>
        <w:t>Informed</w:t>
      </w:r>
      <w:r>
        <w:rPr>
          <w:b/>
          <w:bCs/>
        </w:rPr>
        <w:t xml:space="preserve">: </w:t>
      </w:r>
      <w:r w:rsidRPr="001A7CBE">
        <w:t>When interested parties can simply expect to be kept in the loop – but in a timely manner.</w:t>
      </w:r>
    </w:p>
    <w:p w14:paraId="752594D4" w14:textId="2B0B8574" w:rsidR="004748F8" w:rsidRDefault="004748F8" w:rsidP="004748F8">
      <w:pPr>
        <w:pStyle w:val="Heading2"/>
      </w:pPr>
      <w:r>
        <w:lastRenderedPageBreak/>
        <w:t>Proposal</w:t>
      </w:r>
      <w:r w:rsidR="00101F83">
        <w:t xml:space="preserve"> </w:t>
      </w:r>
      <w:r w:rsidR="00101F83" w:rsidRPr="009E5E45">
        <w:rPr>
          <w:color w:val="C00000"/>
        </w:rPr>
        <w:t xml:space="preserve"> </w:t>
      </w:r>
    </w:p>
    <w:p w14:paraId="791309CC" w14:textId="2A37EEB1" w:rsidR="006F2D38" w:rsidRDefault="0049436E" w:rsidP="006F2D38">
      <w:pPr>
        <w:pStyle w:val="ListParagraph"/>
        <w:numPr>
          <w:ilvl w:val="0"/>
          <w:numId w:val="10"/>
        </w:numPr>
      </w:pPr>
      <w:r>
        <w:t>Ahead of the meeting m</w:t>
      </w:r>
      <w:r w:rsidR="00BC43C9">
        <w:t xml:space="preserve">embers are asked to consider </w:t>
      </w:r>
      <w:r w:rsidR="00A71058">
        <w:t xml:space="preserve">how </w:t>
      </w:r>
      <w:r>
        <w:t xml:space="preserve">accountability and transparency </w:t>
      </w:r>
      <w:r w:rsidR="002E79EF">
        <w:t xml:space="preserve">in FRAs can be improved. </w:t>
      </w:r>
      <w:r w:rsidR="00392656">
        <w:t xml:space="preserve">During this </w:t>
      </w:r>
      <w:r w:rsidR="00F22A73">
        <w:t>discussion</w:t>
      </w:r>
      <w:r w:rsidR="00392656">
        <w:t xml:space="preserve"> members may wish to </w:t>
      </w:r>
      <w:r w:rsidR="00823BDA">
        <w:t xml:space="preserve">seek clarity from </w:t>
      </w:r>
      <w:proofErr w:type="gramStart"/>
      <w:r w:rsidR="00823BDA">
        <w:t>Home</w:t>
      </w:r>
      <w:proofErr w:type="gramEnd"/>
      <w:r w:rsidR="00823BDA">
        <w:t xml:space="preserve"> Office officials on</w:t>
      </w:r>
      <w:r w:rsidR="00246D11">
        <w:t xml:space="preserve">: </w:t>
      </w:r>
    </w:p>
    <w:p w14:paraId="284CD049" w14:textId="31EFE9FC" w:rsidR="006F2D38" w:rsidRDefault="006F2D38" w:rsidP="006F2D38">
      <w:pPr>
        <w:pStyle w:val="ListParagraph"/>
        <w:numPr>
          <w:ilvl w:val="1"/>
          <w:numId w:val="10"/>
        </w:numPr>
      </w:pPr>
      <w:r>
        <w:t>W</w:t>
      </w:r>
      <w:r w:rsidR="00823BDA">
        <w:t>hat is meant by accountability and transparency in this context</w:t>
      </w:r>
      <w:r w:rsidR="00C23783">
        <w:t xml:space="preserve">? </w:t>
      </w:r>
      <w:r w:rsidR="00823BDA">
        <w:t xml:space="preserve"> </w:t>
      </w:r>
    </w:p>
    <w:p w14:paraId="04B39585" w14:textId="57E3285E" w:rsidR="00BA3E7D" w:rsidRDefault="006A3A19" w:rsidP="006F2D38">
      <w:pPr>
        <w:pStyle w:val="ListParagraph"/>
        <w:numPr>
          <w:ilvl w:val="1"/>
          <w:numId w:val="10"/>
        </w:numPr>
      </w:pPr>
      <w:r>
        <w:t xml:space="preserve">What are the key issues facing the fire and rescue service </w:t>
      </w:r>
      <w:r w:rsidR="00C23783">
        <w:t xml:space="preserve">and can they only be addressed by governance change, or </w:t>
      </w:r>
      <w:r w:rsidR="00965704">
        <w:t>would</w:t>
      </w:r>
      <w:r w:rsidR="00C23783">
        <w:t xml:space="preserve"> other measures </w:t>
      </w:r>
      <w:r w:rsidR="002747CA">
        <w:t>which do not require legislation be</w:t>
      </w:r>
      <w:r w:rsidR="00C23783">
        <w:t xml:space="preserve"> acceptable?</w:t>
      </w:r>
    </w:p>
    <w:p w14:paraId="519A9B1F" w14:textId="268309B1" w:rsidR="001F41E3" w:rsidRDefault="00F77FAE" w:rsidP="00CA6587">
      <w:pPr>
        <w:pStyle w:val="ListParagraph"/>
        <w:numPr>
          <w:ilvl w:val="0"/>
          <w:numId w:val="10"/>
        </w:numPr>
      </w:pPr>
      <w:r>
        <w:t xml:space="preserve">In response to the </w:t>
      </w:r>
      <w:proofErr w:type="gramStart"/>
      <w:r>
        <w:t>Home</w:t>
      </w:r>
      <w:proofErr w:type="gramEnd"/>
      <w:r>
        <w:t xml:space="preserve"> Office presentation members may wish to</w:t>
      </w:r>
      <w:r w:rsidR="00A35309">
        <w:t>:</w:t>
      </w:r>
    </w:p>
    <w:p w14:paraId="71208E96" w14:textId="3DE5AA8C" w:rsidR="002101A7" w:rsidRDefault="001A0A5D" w:rsidP="001F41E3">
      <w:pPr>
        <w:pStyle w:val="ListParagraph"/>
        <w:numPr>
          <w:ilvl w:val="1"/>
          <w:numId w:val="10"/>
        </w:numPr>
      </w:pPr>
      <w:r>
        <w:t xml:space="preserve">Outline the existing committee arrangements in FRAs which demonstrate that </w:t>
      </w:r>
      <w:r w:rsidR="008075B3">
        <w:t xml:space="preserve">it is possible to move to more of an executive and scrutiny function within FRAs under the existing legislation. </w:t>
      </w:r>
    </w:p>
    <w:p w14:paraId="774CF9A6" w14:textId="33190F0A" w:rsidR="00636012" w:rsidRDefault="00856AB6" w:rsidP="004B3511">
      <w:pPr>
        <w:pStyle w:val="ListParagraph"/>
        <w:numPr>
          <w:ilvl w:val="1"/>
          <w:numId w:val="10"/>
        </w:numPr>
      </w:pPr>
      <w:r>
        <w:t>Draw attention to t</w:t>
      </w:r>
      <w:r w:rsidR="00C72CB3">
        <w:t xml:space="preserve">he </w:t>
      </w:r>
      <w:r w:rsidR="00123CD7">
        <w:t>LGA</w:t>
      </w:r>
      <w:r w:rsidR="00C72CB3">
        <w:t xml:space="preserve">’s existing work programme to </w:t>
      </w:r>
      <w:r w:rsidR="00636012">
        <w:t xml:space="preserve">support </w:t>
      </w:r>
      <w:r w:rsidR="00C72CB3">
        <w:t xml:space="preserve">improvements in transparency, </w:t>
      </w:r>
      <w:proofErr w:type="gramStart"/>
      <w:r w:rsidR="00C72CB3">
        <w:t>accountability</w:t>
      </w:r>
      <w:proofErr w:type="gramEnd"/>
      <w:r w:rsidR="00C72CB3">
        <w:t xml:space="preserve"> and </w:t>
      </w:r>
      <w:r>
        <w:t xml:space="preserve">governance. With additional funding it would be possible to expand this programme further. </w:t>
      </w:r>
      <w:r w:rsidR="00636012">
        <w:t xml:space="preserve"> </w:t>
      </w:r>
    </w:p>
    <w:p w14:paraId="6362CC3F" w14:textId="2B2A8B0C" w:rsidR="009567CB" w:rsidRDefault="007F5497" w:rsidP="004B3511">
      <w:pPr>
        <w:pStyle w:val="ListParagraph"/>
        <w:numPr>
          <w:ilvl w:val="1"/>
          <w:numId w:val="10"/>
        </w:numPr>
      </w:pPr>
      <w:r>
        <w:t xml:space="preserve">Highlight the cost implications of moving </w:t>
      </w:r>
      <w:r w:rsidR="00DC0D88">
        <w:t xml:space="preserve">from existing FRAs </w:t>
      </w:r>
      <w:r>
        <w:t>to alternative forms of governance</w:t>
      </w:r>
      <w:r w:rsidR="005B4594">
        <w:t xml:space="preserve">, especially where there are no coterminous boundaries with other forms of governance such as in the </w:t>
      </w:r>
      <w:proofErr w:type="gramStart"/>
      <w:r w:rsidR="005B4594">
        <w:t>South West</w:t>
      </w:r>
      <w:proofErr w:type="gramEnd"/>
      <w:r w:rsidR="005B4594">
        <w:t xml:space="preserve">. </w:t>
      </w:r>
    </w:p>
    <w:p w14:paraId="5C0E8FBD" w14:textId="473BA4B0" w:rsidR="005B4594" w:rsidRDefault="007148B9" w:rsidP="004B3511">
      <w:pPr>
        <w:pStyle w:val="ListParagraph"/>
        <w:numPr>
          <w:ilvl w:val="1"/>
          <w:numId w:val="10"/>
        </w:numPr>
      </w:pPr>
      <w:r>
        <w:t xml:space="preserve">Remind the Home Office of the </w:t>
      </w:r>
      <w:r w:rsidR="009F0101">
        <w:t xml:space="preserve">LGA’s proposals in our response to the Fire Reform White Paper (and set out above at paragraph 7), which although in </w:t>
      </w:r>
      <w:r w:rsidR="00A01572">
        <w:t xml:space="preserve">the case of two of the options would require legislative change </w:t>
      </w:r>
      <w:r w:rsidR="003F36D1">
        <w:t xml:space="preserve">this would deliver on the principles outlined in the White Paper without the costs associated with moving to other forms of governance. </w:t>
      </w:r>
    </w:p>
    <w:p w14:paraId="4F5EC9AD" w14:textId="779FC836" w:rsidR="00E81AC5" w:rsidRPr="00D9111B" w:rsidRDefault="00E81AC5" w:rsidP="00AE33E9">
      <w:pPr>
        <w:pStyle w:val="Heading2"/>
        <w:rPr>
          <w:color w:val="auto"/>
        </w:rPr>
      </w:pPr>
      <w:r w:rsidRPr="00D9111B">
        <w:rPr>
          <w:color w:val="auto"/>
        </w:rPr>
        <w:t>Implications for Wales</w:t>
      </w:r>
      <w:r w:rsidR="00B10AD7" w:rsidRPr="00D9111B">
        <w:rPr>
          <w:color w:val="auto"/>
        </w:rPr>
        <w:t xml:space="preserve"> </w:t>
      </w:r>
    </w:p>
    <w:p w14:paraId="39157FDC" w14:textId="587ECD2C" w:rsidR="00803F83" w:rsidRPr="00D9111B" w:rsidRDefault="00CA6587" w:rsidP="00803F83">
      <w:pPr>
        <w:pStyle w:val="ListParagraph"/>
        <w:numPr>
          <w:ilvl w:val="0"/>
          <w:numId w:val="10"/>
        </w:numPr>
      </w:pPr>
      <w:r w:rsidRPr="00D9111B">
        <w:t>The Fire Reform White Paper is a</w:t>
      </w:r>
      <w:r w:rsidR="00D9111B" w:rsidRPr="00D9111B">
        <w:t>n England only document.</w:t>
      </w:r>
    </w:p>
    <w:p w14:paraId="465D35E6" w14:textId="13205BD7" w:rsidR="00E81AC5" w:rsidRPr="002422C3" w:rsidRDefault="00E81AC5" w:rsidP="00AE33E9">
      <w:pPr>
        <w:pStyle w:val="Heading2"/>
        <w:rPr>
          <w:color w:val="auto"/>
        </w:rPr>
      </w:pPr>
      <w:r w:rsidRPr="002422C3">
        <w:rPr>
          <w:color w:val="auto"/>
        </w:rPr>
        <w:t>Financial Implications</w:t>
      </w:r>
      <w:r w:rsidR="00101F83">
        <w:rPr>
          <w:color w:val="auto"/>
        </w:rPr>
        <w:t xml:space="preserve"> </w:t>
      </w:r>
      <w:r w:rsidR="00101F83" w:rsidRPr="009E5E45">
        <w:rPr>
          <w:color w:val="C00000"/>
        </w:rPr>
        <w:t xml:space="preserve"> </w:t>
      </w:r>
    </w:p>
    <w:p w14:paraId="5B92F865" w14:textId="54F8722B" w:rsidR="00953728" w:rsidRDefault="00D9111B" w:rsidP="007A5A84">
      <w:pPr>
        <w:pStyle w:val="ListParagraph"/>
        <w:numPr>
          <w:ilvl w:val="0"/>
          <w:numId w:val="10"/>
        </w:numPr>
      </w:pPr>
      <w:r>
        <w:t>None.</w:t>
      </w:r>
    </w:p>
    <w:p w14:paraId="5A40BAA1" w14:textId="0E0732BE" w:rsidR="00E761F6" w:rsidRPr="00E761F6" w:rsidRDefault="00E761F6" w:rsidP="00E761F6">
      <w:pPr>
        <w:ind w:firstLine="0"/>
        <w:rPr>
          <w:b/>
          <w:bCs/>
          <w:sz w:val="28"/>
          <w:szCs w:val="28"/>
        </w:rPr>
      </w:pPr>
      <w:r w:rsidRPr="00E761F6">
        <w:rPr>
          <w:b/>
          <w:bCs/>
          <w:sz w:val="28"/>
          <w:szCs w:val="28"/>
        </w:rPr>
        <w:t>Equalities Implications</w:t>
      </w:r>
    </w:p>
    <w:p w14:paraId="45324976" w14:textId="0378A3CD" w:rsidR="00E761F6" w:rsidRPr="007A5A84" w:rsidRDefault="00F22A73" w:rsidP="007A5A84">
      <w:pPr>
        <w:pStyle w:val="ListParagraph"/>
        <w:numPr>
          <w:ilvl w:val="0"/>
          <w:numId w:val="10"/>
        </w:numPr>
      </w:pPr>
      <w:r>
        <w:t xml:space="preserve">No direct implications, though </w:t>
      </w:r>
      <w:r w:rsidR="00B722F2">
        <w:t>when the response to the Government’s White Paper have been assessed the LGA will make a full assessment.</w:t>
      </w:r>
    </w:p>
    <w:p w14:paraId="0DD7D346" w14:textId="69CC002F" w:rsidR="00E81AC5" w:rsidRPr="002422C3" w:rsidRDefault="00E81AC5" w:rsidP="00AE33E9">
      <w:pPr>
        <w:pStyle w:val="Heading2"/>
        <w:rPr>
          <w:color w:val="auto"/>
        </w:rPr>
      </w:pPr>
      <w:r w:rsidRPr="002422C3">
        <w:rPr>
          <w:color w:val="auto"/>
        </w:rPr>
        <w:t>Next steps</w:t>
      </w:r>
      <w:r w:rsidR="00B10AD7" w:rsidRPr="002422C3">
        <w:rPr>
          <w:color w:val="auto"/>
        </w:rPr>
        <w:t xml:space="preserve"> </w:t>
      </w:r>
    </w:p>
    <w:p w14:paraId="19415656" w14:textId="5604B97F" w:rsidR="00FA1A37" w:rsidRPr="004748F8" w:rsidRDefault="00476DA1" w:rsidP="00EF1910">
      <w:pPr>
        <w:pStyle w:val="ListParagraph"/>
        <w:numPr>
          <w:ilvl w:val="0"/>
          <w:numId w:val="10"/>
        </w:numPr>
      </w:pPr>
      <w:r>
        <w:t xml:space="preserve">Officers will look to </w:t>
      </w:r>
      <w:r w:rsidR="00757D6D">
        <w:t xml:space="preserve">structure further discussions with the Home Office based on members’ views. </w:t>
      </w:r>
    </w:p>
    <w:sectPr w:rsidR="00FA1A37" w:rsidRPr="004748F8" w:rsidSect="00376FD5">
      <w:headerReference w:type="default" r:id="rId16"/>
      <w:footerReference w:type="even" r:id="rId17"/>
      <w:headerReference w:type="first" r:id="rId18"/>
      <w:footerReference w:type="first" r:id="rId19"/>
      <w:pgSz w:w="11900" w:h="16840"/>
      <w:pgMar w:top="142" w:right="1127" w:bottom="1440" w:left="1134" w:header="28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974FC" w14:textId="77777777" w:rsidR="00B57333" w:rsidRDefault="00B57333" w:rsidP="00AD62B2">
      <w:r>
        <w:separator/>
      </w:r>
    </w:p>
  </w:endnote>
  <w:endnote w:type="continuationSeparator" w:id="0">
    <w:p w14:paraId="05E7FDA8" w14:textId="77777777" w:rsidR="00B57333" w:rsidRDefault="00B57333" w:rsidP="00AD62B2">
      <w:r>
        <w:continuationSeparator/>
      </w:r>
    </w:p>
  </w:endnote>
  <w:endnote w:type="continuationNotice" w:id="1">
    <w:p w14:paraId="4425457C" w14:textId="77777777" w:rsidR="00B57333" w:rsidRDefault="00B573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E99E" w14:textId="77777777" w:rsidR="008B5701" w:rsidRDefault="008B5701" w:rsidP="00AD62B2">
    <w:pPr>
      <w:rPr>
        <w:lang w:val="en-US"/>
      </w:rPr>
    </w:pPr>
  </w:p>
  <w:p w14:paraId="546C17A2" w14:textId="77777777" w:rsidR="007D6682" w:rsidRPr="00153423" w:rsidRDefault="007D6682" w:rsidP="00AD62B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DDC35" w14:textId="517309EA" w:rsidR="002954FA" w:rsidRPr="005C409E" w:rsidRDefault="0096147C" w:rsidP="00076282">
    <w:pPr>
      <w:pStyle w:val="NormalWeb"/>
      <w:spacing w:before="0" w:beforeAutospacing="0" w:after="160" w:afterAutospacing="0" w:line="200" w:lineRule="atLeast"/>
      <w:ind w:right="-879" w:firstLine="0"/>
      <w:rPr>
        <w:rFonts w:ascii="Arial" w:hAnsi="Arial" w:cs="Arial"/>
      </w:rPr>
    </w:pPr>
    <w:r w:rsidRPr="005C409E">
      <w:rPr>
        <w:rFonts w:ascii="Arial" w:hAnsi="Arial" w:cs="Arial"/>
        <w:sz w:val="18"/>
        <w:szCs w:val="18"/>
      </w:rPr>
      <w:t xml:space="preserve">18 Smith Square, London, SW1P 3HZ    www.local.gov.uk    </w:t>
    </w:r>
    <w:r w:rsidRPr="005C409E">
      <w:rPr>
        <w:rFonts w:ascii="Arial" w:hAnsi="Arial" w:cs="Arial"/>
        <w:b/>
        <w:bCs/>
        <w:sz w:val="18"/>
        <w:szCs w:val="18"/>
      </w:rPr>
      <w:t xml:space="preserve">Telephone </w:t>
    </w:r>
    <w:r w:rsidRPr="005C409E">
      <w:rPr>
        <w:rFonts w:ascii="Arial" w:hAnsi="Arial" w:cs="Arial"/>
        <w:sz w:val="18"/>
        <w:szCs w:val="18"/>
      </w:rPr>
      <w:t xml:space="preserve">020 7664 3000    </w:t>
    </w:r>
    <w:r w:rsidRPr="005C409E">
      <w:rPr>
        <w:rFonts w:ascii="Arial" w:hAnsi="Arial" w:cs="Arial"/>
        <w:b/>
        <w:bCs/>
        <w:sz w:val="18"/>
        <w:szCs w:val="18"/>
      </w:rPr>
      <w:t xml:space="preserve">Email </w:t>
    </w:r>
    <w:r w:rsidRPr="005C409E">
      <w:rPr>
        <w:rFonts w:ascii="Arial" w:hAnsi="Arial" w:cs="Arial"/>
        <w:sz w:val="18"/>
        <w:szCs w:val="18"/>
      </w:rPr>
      <w:t>info@local.gov.uk    </w:t>
    </w:r>
    <w:r w:rsidRPr="005C409E">
      <w:rPr>
        <w:rFonts w:ascii="Arial" w:hAnsi="Arial" w:cs="Arial"/>
        <w:sz w:val="18"/>
        <w:szCs w:val="18"/>
      </w:rPr>
      <w:br/>
      <w:t xml:space="preserve">Local Government Association company number 11177145  </w:t>
    </w:r>
    <w:r w:rsidRPr="005C409E">
      <w:rPr>
        <w:rFonts w:ascii="Arial" w:hAnsi="Arial" w:cs="Arial"/>
        <w:sz w:val="18"/>
        <w:szCs w:val="18"/>
      </w:rPr>
      <w:br/>
      <w:t>Improvement and Development Agency for Local Government company number 0367557</w:t>
    </w:r>
    <w:r w:rsidRPr="005C409E">
      <w:rPr>
        <w:rFonts w:ascii="Arial" w:hAnsi="Arial" w:cs="Arial"/>
        <w:sz w:val="18"/>
        <w:szCs w:val="18"/>
      </w:rPr>
      <w:br/>
    </w:r>
    <w:r w:rsidRPr="005C409E">
      <w:rPr>
        <w:rFonts w:ascii="Arial" w:hAnsi="Arial" w:cs="Arial"/>
        <w:b/>
        <w:bCs/>
        <w:sz w:val="18"/>
        <w:szCs w:val="18"/>
      </w:rPr>
      <w:t>Chairman:</w:t>
    </w:r>
    <w:r w:rsidRPr="005C409E">
      <w:rPr>
        <w:rFonts w:ascii="Arial" w:hAnsi="Arial" w:cs="Arial"/>
        <w:sz w:val="18"/>
        <w:szCs w:val="18"/>
      </w:rPr>
      <w:t xml:space="preserve"> Councillor James Jamieson OBE   </w:t>
    </w:r>
    <w:r w:rsidRPr="005C409E">
      <w:rPr>
        <w:rFonts w:ascii="Arial" w:hAnsi="Arial" w:cs="Arial"/>
        <w:b/>
        <w:bCs/>
        <w:sz w:val="18"/>
        <w:szCs w:val="18"/>
      </w:rPr>
      <w:t>Chief Executive:</w:t>
    </w:r>
    <w:r w:rsidRPr="005C409E">
      <w:rPr>
        <w:rFonts w:ascii="Arial" w:hAnsi="Arial" w:cs="Arial"/>
        <w:sz w:val="18"/>
        <w:szCs w:val="18"/>
      </w:rPr>
      <w:t xml:space="preserve"> Mark Lloyd CBE   </w:t>
    </w:r>
    <w:r w:rsidRPr="005C409E">
      <w:rPr>
        <w:rFonts w:ascii="Arial" w:hAnsi="Arial" w:cs="Arial"/>
        <w:b/>
        <w:bCs/>
        <w:sz w:val="18"/>
        <w:szCs w:val="18"/>
      </w:rPr>
      <w:t>President:</w:t>
    </w:r>
    <w:r w:rsidRPr="005C409E">
      <w:rPr>
        <w:rFonts w:ascii="Arial" w:hAnsi="Arial" w:cs="Arial"/>
        <w:sz w:val="18"/>
        <w:szCs w:val="18"/>
      </w:rPr>
      <w:t xml:space="preserve"> Baroness Grey-Thompson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CD27D" w14:textId="77777777" w:rsidR="00B57333" w:rsidRDefault="00B57333" w:rsidP="00AD62B2">
      <w:r>
        <w:separator/>
      </w:r>
    </w:p>
  </w:footnote>
  <w:footnote w:type="continuationSeparator" w:id="0">
    <w:p w14:paraId="0B8D7960" w14:textId="77777777" w:rsidR="00B57333" w:rsidRDefault="00B57333" w:rsidP="00AD62B2">
      <w:r>
        <w:continuationSeparator/>
      </w:r>
    </w:p>
  </w:footnote>
  <w:footnote w:type="continuationNotice" w:id="1">
    <w:p w14:paraId="458A02C3" w14:textId="77777777" w:rsidR="00B57333" w:rsidRDefault="00B573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B72BE" w14:textId="6738E0D3" w:rsidR="00DA5AAB" w:rsidRPr="009E5E45" w:rsidRDefault="00DA5AAB" w:rsidP="009E5E45">
    <w:pPr>
      <w:pStyle w:val="Header"/>
      <w:ind w:firstLine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B73E0" w14:textId="02D6B63C" w:rsidR="00701BA4" w:rsidRPr="0088301E" w:rsidRDefault="00701BA4" w:rsidP="0088301E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C66C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90BD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2C8C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6C79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38AD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1450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98A0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E258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C22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162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83349"/>
    <w:multiLevelType w:val="hybridMultilevel"/>
    <w:tmpl w:val="76FE7B46"/>
    <w:lvl w:ilvl="0" w:tplc="A544A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BA2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85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62B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A7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AC3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8B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D21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D60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97E58BE"/>
    <w:multiLevelType w:val="hybridMultilevel"/>
    <w:tmpl w:val="8DC2C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B43BF"/>
    <w:multiLevelType w:val="multilevel"/>
    <w:tmpl w:val="962814E0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color w:val="000000" w:themeColor="text1"/>
      </w:rPr>
    </w:lvl>
    <w:lvl w:ilvl="1">
      <w:start w:val="1"/>
      <w:numFmt w:val="decimal"/>
      <w:lvlText w:val="3.%2.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A555398"/>
    <w:multiLevelType w:val="hybridMultilevel"/>
    <w:tmpl w:val="8050E57C"/>
    <w:lvl w:ilvl="0" w:tplc="5DA02B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5C0D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8816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C14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7AFB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DA58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CC39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8EEB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7EAA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43952"/>
    <w:multiLevelType w:val="hybridMultilevel"/>
    <w:tmpl w:val="6882BB8C"/>
    <w:lvl w:ilvl="0" w:tplc="7B782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786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CC9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26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AA5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1E9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E3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2CA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46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3BE3735"/>
    <w:multiLevelType w:val="multilevel"/>
    <w:tmpl w:val="558A16DE"/>
    <w:styleLink w:val="bulle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B524D"/>
    <w:multiLevelType w:val="multilevel"/>
    <w:tmpl w:val="F8906D98"/>
    <w:styleLink w:val="bull1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31BB0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1230A78"/>
    <w:multiLevelType w:val="multilevel"/>
    <w:tmpl w:val="A06E1F50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1021" w:hanging="45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3920A02"/>
    <w:multiLevelType w:val="multilevel"/>
    <w:tmpl w:val="B0BE1D80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1021" w:hanging="45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D657362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4D243D1"/>
    <w:multiLevelType w:val="multilevel"/>
    <w:tmpl w:val="D5DE6606"/>
    <w:lvl w:ilvl="0">
      <w:start w:val="1"/>
      <w:numFmt w:val="decimal"/>
      <w:lvlText w:val="1.%1."/>
      <w:lvlJc w:val="left"/>
      <w:pPr>
        <w:ind w:left="454" w:hanging="454"/>
      </w:pPr>
      <w:rPr>
        <w:rFonts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1021" w:hanging="45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78A034E"/>
    <w:multiLevelType w:val="hybridMultilevel"/>
    <w:tmpl w:val="D1D439C6"/>
    <w:lvl w:ilvl="0" w:tplc="E4B80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08F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184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4C8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10D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60F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80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D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AA5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A041D8D"/>
    <w:multiLevelType w:val="multilevel"/>
    <w:tmpl w:val="3794A4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5A4963F2"/>
    <w:multiLevelType w:val="hybridMultilevel"/>
    <w:tmpl w:val="898A1798"/>
    <w:lvl w:ilvl="0" w:tplc="E5F6ABD4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9F5370"/>
    <w:multiLevelType w:val="multilevel"/>
    <w:tmpl w:val="5CCA3C00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color w:val="000000" w:themeColor="text1"/>
      </w:rPr>
    </w:lvl>
    <w:lvl w:ilvl="1">
      <w:start w:val="1"/>
      <w:numFmt w:val="decimal"/>
      <w:lvlText w:val="4.%2.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F824789"/>
    <w:multiLevelType w:val="hybridMultilevel"/>
    <w:tmpl w:val="2E608014"/>
    <w:lvl w:ilvl="0" w:tplc="25F82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E2E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4AC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7A1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660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CF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40B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488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68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0C39B3"/>
    <w:multiLevelType w:val="multilevel"/>
    <w:tmpl w:val="C76AB91C"/>
    <w:styleLink w:val="LG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DA2234"/>
    <w:multiLevelType w:val="hybridMultilevel"/>
    <w:tmpl w:val="D0780DF4"/>
    <w:lvl w:ilvl="0" w:tplc="CCE4B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1CD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9C8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862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A3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F05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682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E08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E4E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88A3D5B"/>
    <w:multiLevelType w:val="multilevel"/>
    <w:tmpl w:val="33A005F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1021" w:hanging="45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EE76969"/>
    <w:multiLevelType w:val="hybridMultilevel"/>
    <w:tmpl w:val="718EF5D6"/>
    <w:lvl w:ilvl="0" w:tplc="CE68F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F28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3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780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424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62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6EB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6CF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9CF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1761DD8"/>
    <w:multiLevelType w:val="multilevel"/>
    <w:tmpl w:val="0409001D"/>
    <w:styleLink w:val="LGABulletsleve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75A011C"/>
    <w:multiLevelType w:val="multilevel"/>
    <w:tmpl w:val="D6306D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9"/>
  </w:num>
  <w:num w:numId="2">
    <w:abstractNumId w:val="31"/>
  </w:num>
  <w:num w:numId="3">
    <w:abstractNumId w:val="27"/>
  </w:num>
  <w:num w:numId="4">
    <w:abstractNumId w:val="20"/>
  </w:num>
  <w:num w:numId="5">
    <w:abstractNumId w:val="16"/>
  </w:num>
  <w:num w:numId="6">
    <w:abstractNumId w:val="15"/>
  </w:num>
  <w:num w:numId="7">
    <w:abstractNumId w:val="17"/>
  </w:num>
  <w:num w:numId="8">
    <w:abstractNumId w:val="32"/>
  </w:num>
  <w:num w:numId="9">
    <w:abstractNumId w:val="23"/>
  </w:num>
  <w:num w:numId="10">
    <w:abstractNumId w:val="1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25"/>
  </w:num>
  <w:num w:numId="22">
    <w:abstractNumId w:val="21"/>
  </w:num>
  <w:num w:numId="23">
    <w:abstractNumId w:val="24"/>
  </w:num>
  <w:num w:numId="24">
    <w:abstractNumId w:val="11"/>
  </w:num>
  <w:num w:numId="25">
    <w:abstractNumId w:val="18"/>
  </w:num>
  <w:num w:numId="26">
    <w:abstractNumId w:val="29"/>
  </w:num>
  <w:num w:numId="27">
    <w:abstractNumId w:val="14"/>
  </w:num>
  <w:num w:numId="28">
    <w:abstractNumId w:val="13"/>
  </w:num>
  <w:num w:numId="29">
    <w:abstractNumId w:val="28"/>
  </w:num>
  <w:num w:numId="30">
    <w:abstractNumId w:val="30"/>
  </w:num>
  <w:num w:numId="31">
    <w:abstractNumId w:val="10"/>
  </w:num>
  <w:num w:numId="32">
    <w:abstractNumId w:val="22"/>
  </w:num>
  <w:num w:numId="33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D7"/>
    <w:rsid w:val="000040DD"/>
    <w:rsid w:val="00015F93"/>
    <w:rsid w:val="00016C66"/>
    <w:rsid w:val="00023063"/>
    <w:rsid w:val="000251AF"/>
    <w:rsid w:val="000367CF"/>
    <w:rsid w:val="000404B5"/>
    <w:rsid w:val="00042F32"/>
    <w:rsid w:val="0004777E"/>
    <w:rsid w:val="000505D5"/>
    <w:rsid w:val="00052698"/>
    <w:rsid w:val="000563A1"/>
    <w:rsid w:val="00076282"/>
    <w:rsid w:val="000770CA"/>
    <w:rsid w:val="00084AE6"/>
    <w:rsid w:val="00084BB2"/>
    <w:rsid w:val="00096945"/>
    <w:rsid w:val="000A3930"/>
    <w:rsid w:val="000A46DA"/>
    <w:rsid w:val="000C083B"/>
    <w:rsid w:val="000C4A2C"/>
    <w:rsid w:val="000D007C"/>
    <w:rsid w:val="000D04C3"/>
    <w:rsid w:val="000F5D79"/>
    <w:rsid w:val="00101F83"/>
    <w:rsid w:val="00105C11"/>
    <w:rsid w:val="001178FC"/>
    <w:rsid w:val="00120C97"/>
    <w:rsid w:val="00123CD7"/>
    <w:rsid w:val="00125CDC"/>
    <w:rsid w:val="00125D0E"/>
    <w:rsid w:val="001379B6"/>
    <w:rsid w:val="00143FF7"/>
    <w:rsid w:val="00151173"/>
    <w:rsid w:val="00151EED"/>
    <w:rsid w:val="00153423"/>
    <w:rsid w:val="00154DF0"/>
    <w:rsid w:val="00160176"/>
    <w:rsid w:val="00162B91"/>
    <w:rsid w:val="001879BE"/>
    <w:rsid w:val="00191897"/>
    <w:rsid w:val="00194699"/>
    <w:rsid w:val="00195A64"/>
    <w:rsid w:val="001960A8"/>
    <w:rsid w:val="001978FF"/>
    <w:rsid w:val="001A0A5D"/>
    <w:rsid w:val="001A230B"/>
    <w:rsid w:val="001A7CBE"/>
    <w:rsid w:val="001B6714"/>
    <w:rsid w:val="001B6730"/>
    <w:rsid w:val="001C0B7F"/>
    <w:rsid w:val="001C2D2F"/>
    <w:rsid w:val="001C403B"/>
    <w:rsid w:val="001C7965"/>
    <w:rsid w:val="001D0BC8"/>
    <w:rsid w:val="001D0E03"/>
    <w:rsid w:val="001E4FE0"/>
    <w:rsid w:val="001E57FE"/>
    <w:rsid w:val="001F41E3"/>
    <w:rsid w:val="001F77A5"/>
    <w:rsid w:val="0020025E"/>
    <w:rsid w:val="00200264"/>
    <w:rsid w:val="00201BBD"/>
    <w:rsid w:val="00202AA9"/>
    <w:rsid w:val="002101A7"/>
    <w:rsid w:val="00212364"/>
    <w:rsid w:val="00215A48"/>
    <w:rsid w:val="0022517A"/>
    <w:rsid w:val="00225626"/>
    <w:rsid w:val="00232D02"/>
    <w:rsid w:val="002422C3"/>
    <w:rsid w:val="00244D42"/>
    <w:rsid w:val="00246D11"/>
    <w:rsid w:val="00251C5A"/>
    <w:rsid w:val="00254CC6"/>
    <w:rsid w:val="00257462"/>
    <w:rsid w:val="002655A2"/>
    <w:rsid w:val="002747CA"/>
    <w:rsid w:val="0028316C"/>
    <w:rsid w:val="002913B9"/>
    <w:rsid w:val="00292FD7"/>
    <w:rsid w:val="002954FA"/>
    <w:rsid w:val="002962F4"/>
    <w:rsid w:val="002A7C7F"/>
    <w:rsid w:val="002B3E1B"/>
    <w:rsid w:val="002B7C9E"/>
    <w:rsid w:val="002C7020"/>
    <w:rsid w:val="002C7104"/>
    <w:rsid w:val="002D013E"/>
    <w:rsid w:val="002D3503"/>
    <w:rsid w:val="002D4F8A"/>
    <w:rsid w:val="002E3791"/>
    <w:rsid w:val="002E79EF"/>
    <w:rsid w:val="002F7B6A"/>
    <w:rsid w:val="0030031B"/>
    <w:rsid w:val="00302864"/>
    <w:rsid w:val="00304CA7"/>
    <w:rsid w:val="00305796"/>
    <w:rsid w:val="003137E0"/>
    <w:rsid w:val="00317354"/>
    <w:rsid w:val="00321249"/>
    <w:rsid w:val="00322616"/>
    <w:rsid w:val="00325289"/>
    <w:rsid w:val="00327991"/>
    <w:rsid w:val="00331707"/>
    <w:rsid w:val="00340577"/>
    <w:rsid w:val="003566B0"/>
    <w:rsid w:val="00357547"/>
    <w:rsid w:val="00361E57"/>
    <w:rsid w:val="00363F09"/>
    <w:rsid w:val="00365015"/>
    <w:rsid w:val="00370CE5"/>
    <w:rsid w:val="00371E87"/>
    <w:rsid w:val="003737D0"/>
    <w:rsid w:val="00375F9A"/>
    <w:rsid w:val="00376FD5"/>
    <w:rsid w:val="00385D68"/>
    <w:rsid w:val="0039168F"/>
    <w:rsid w:val="00392656"/>
    <w:rsid w:val="00395AD4"/>
    <w:rsid w:val="003A15A7"/>
    <w:rsid w:val="003A29F0"/>
    <w:rsid w:val="003A3DE9"/>
    <w:rsid w:val="003A5118"/>
    <w:rsid w:val="003A7E51"/>
    <w:rsid w:val="003D1170"/>
    <w:rsid w:val="003D225F"/>
    <w:rsid w:val="003D55B7"/>
    <w:rsid w:val="003E1EE9"/>
    <w:rsid w:val="003E42B8"/>
    <w:rsid w:val="003E79E8"/>
    <w:rsid w:val="003F36D1"/>
    <w:rsid w:val="003F3A6C"/>
    <w:rsid w:val="00400A51"/>
    <w:rsid w:val="004026A7"/>
    <w:rsid w:val="0041655B"/>
    <w:rsid w:val="00425C92"/>
    <w:rsid w:val="0043121B"/>
    <w:rsid w:val="00447DCB"/>
    <w:rsid w:val="0045278B"/>
    <w:rsid w:val="0047422A"/>
    <w:rsid w:val="004748F8"/>
    <w:rsid w:val="00474AFD"/>
    <w:rsid w:val="00476DA1"/>
    <w:rsid w:val="004812FF"/>
    <w:rsid w:val="004813F5"/>
    <w:rsid w:val="00481F27"/>
    <w:rsid w:val="00486944"/>
    <w:rsid w:val="00490DE6"/>
    <w:rsid w:val="00492251"/>
    <w:rsid w:val="00493B70"/>
    <w:rsid w:val="00493C69"/>
    <w:rsid w:val="0049436E"/>
    <w:rsid w:val="004A550F"/>
    <w:rsid w:val="004A5913"/>
    <w:rsid w:val="004B0180"/>
    <w:rsid w:val="004B0B49"/>
    <w:rsid w:val="004B3511"/>
    <w:rsid w:val="004B4011"/>
    <w:rsid w:val="004B5128"/>
    <w:rsid w:val="004C0E85"/>
    <w:rsid w:val="004C1903"/>
    <w:rsid w:val="004D6B63"/>
    <w:rsid w:val="004D736A"/>
    <w:rsid w:val="004E09CD"/>
    <w:rsid w:val="004E2432"/>
    <w:rsid w:val="004F1DA4"/>
    <w:rsid w:val="004F68A2"/>
    <w:rsid w:val="00503519"/>
    <w:rsid w:val="00503754"/>
    <w:rsid w:val="00516DF0"/>
    <w:rsid w:val="00521BCB"/>
    <w:rsid w:val="00526D9F"/>
    <w:rsid w:val="00527D6E"/>
    <w:rsid w:val="0053346B"/>
    <w:rsid w:val="00535D6E"/>
    <w:rsid w:val="005372A7"/>
    <w:rsid w:val="0053795B"/>
    <w:rsid w:val="00540C4E"/>
    <w:rsid w:val="00544E4B"/>
    <w:rsid w:val="00547EE0"/>
    <w:rsid w:val="00552CFE"/>
    <w:rsid w:val="00565620"/>
    <w:rsid w:val="00571600"/>
    <w:rsid w:val="005720CE"/>
    <w:rsid w:val="0057403C"/>
    <w:rsid w:val="0057466E"/>
    <w:rsid w:val="005819F4"/>
    <w:rsid w:val="00584399"/>
    <w:rsid w:val="00584BDE"/>
    <w:rsid w:val="00584D71"/>
    <w:rsid w:val="005937C1"/>
    <w:rsid w:val="005A7236"/>
    <w:rsid w:val="005B40FE"/>
    <w:rsid w:val="005B4594"/>
    <w:rsid w:val="005C379A"/>
    <w:rsid w:val="005C409E"/>
    <w:rsid w:val="005D08F8"/>
    <w:rsid w:val="005D52A9"/>
    <w:rsid w:val="005D5D73"/>
    <w:rsid w:val="005D785E"/>
    <w:rsid w:val="005E7347"/>
    <w:rsid w:val="005F1E59"/>
    <w:rsid w:val="005F35B6"/>
    <w:rsid w:val="005F542C"/>
    <w:rsid w:val="00616157"/>
    <w:rsid w:val="00616BEE"/>
    <w:rsid w:val="00622CF7"/>
    <w:rsid w:val="00627EC8"/>
    <w:rsid w:val="006306EE"/>
    <w:rsid w:val="00636012"/>
    <w:rsid w:val="00637846"/>
    <w:rsid w:val="00643FF4"/>
    <w:rsid w:val="00645595"/>
    <w:rsid w:val="006455C6"/>
    <w:rsid w:val="00645C7E"/>
    <w:rsid w:val="006511BC"/>
    <w:rsid w:val="00652442"/>
    <w:rsid w:val="006574A6"/>
    <w:rsid w:val="00664ACC"/>
    <w:rsid w:val="0066710E"/>
    <w:rsid w:val="0067291C"/>
    <w:rsid w:val="006731A2"/>
    <w:rsid w:val="00690474"/>
    <w:rsid w:val="00690B8B"/>
    <w:rsid w:val="00691401"/>
    <w:rsid w:val="006A0790"/>
    <w:rsid w:val="006A3A19"/>
    <w:rsid w:val="006B15F5"/>
    <w:rsid w:val="006B1898"/>
    <w:rsid w:val="006B26CE"/>
    <w:rsid w:val="006C088E"/>
    <w:rsid w:val="006C439B"/>
    <w:rsid w:val="006C4750"/>
    <w:rsid w:val="006C640D"/>
    <w:rsid w:val="006C67A6"/>
    <w:rsid w:val="006C70DE"/>
    <w:rsid w:val="006D010D"/>
    <w:rsid w:val="006E432A"/>
    <w:rsid w:val="006E5EC5"/>
    <w:rsid w:val="006F12D2"/>
    <w:rsid w:val="006F1CBF"/>
    <w:rsid w:val="006F1D90"/>
    <w:rsid w:val="006F2D38"/>
    <w:rsid w:val="006F4292"/>
    <w:rsid w:val="006F4968"/>
    <w:rsid w:val="006F77C1"/>
    <w:rsid w:val="00701BA4"/>
    <w:rsid w:val="00711939"/>
    <w:rsid w:val="007135A5"/>
    <w:rsid w:val="007148B9"/>
    <w:rsid w:val="0071649C"/>
    <w:rsid w:val="00720DEE"/>
    <w:rsid w:val="007278C2"/>
    <w:rsid w:val="00731073"/>
    <w:rsid w:val="00731307"/>
    <w:rsid w:val="0073233C"/>
    <w:rsid w:val="00740387"/>
    <w:rsid w:val="007522A4"/>
    <w:rsid w:val="007556A8"/>
    <w:rsid w:val="007566A0"/>
    <w:rsid w:val="00757D6D"/>
    <w:rsid w:val="00762786"/>
    <w:rsid w:val="007655D9"/>
    <w:rsid w:val="0077393B"/>
    <w:rsid w:val="007918BC"/>
    <w:rsid w:val="00794A67"/>
    <w:rsid w:val="007A3157"/>
    <w:rsid w:val="007A4D40"/>
    <w:rsid w:val="007A5A84"/>
    <w:rsid w:val="007B0C86"/>
    <w:rsid w:val="007B0E3B"/>
    <w:rsid w:val="007B0F24"/>
    <w:rsid w:val="007B1C0F"/>
    <w:rsid w:val="007B1D9E"/>
    <w:rsid w:val="007B6174"/>
    <w:rsid w:val="007B6FFF"/>
    <w:rsid w:val="007C337E"/>
    <w:rsid w:val="007C5337"/>
    <w:rsid w:val="007C5B71"/>
    <w:rsid w:val="007D225D"/>
    <w:rsid w:val="007D2BFD"/>
    <w:rsid w:val="007D335D"/>
    <w:rsid w:val="007D6682"/>
    <w:rsid w:val="007E1B30"/>
    <w:rsid w:val="007E2B4D"/>
    <w:rsid w:val="007F1381"/>
    <w:rsid w:val="007F28E6"/>
    <w:rsid w:val="007F3910"/>
    <w:rsid w:val="007F5497"/>
    <w:rsid w:val="007F59BC"/>
    <w:rsid w:val="008018E4"/>
    <w:rsid w:val="00803C71"/>
    <w:rsid w:val="00803F83"/>
    <w:rsid w:val="008048EF"/>
    <w:rsid w:val="0080622B"/>
    <w:rsid w:val="008075B3"/>
    <w:rsid w:val="008200FE"/>
    <w:rsid w:val="00821E3F"/>
    <w:rsid w:val="00823BDA"/>
    <w:rsid w:val="008332C5"/>
    <w:rsid w:val="00842651"/>
    <w:rsid w:val="00846324"/>
    <w:rsid w:val="00847148"/>
    <w:rsid w:val="00847890"/>
    <w:rsid w:val="0085023E"/>
    <w:rsid w:val="00856AB6"/>
    <w:rsid w:val="00866BB5"/>
    <w:rsid w:val="00872281"/>
    <w:rsid w:val="00880941"/>
    <w:rsid w:val="00880C7A"/>
    <w:rsid w:val="0088301E"/>
    <w:rsid w:val="00885D1D"/>
    <w:rsid w:val="00886358"/>
    <w:rsid w:val="00887A4C"/>
    <w:rsid w:val="008905DD"/>
    <w:rsid w:val="0089382D"/>
    <w:rsid w:val="00895969"/>
    <w:rsid w:val="0089690B"/>
    <w:rsid w:val="008A5A73"/>
    <w:rsid w:val="008A7B55"/>
    <w:rsid w:val="008B2E69"/>
    <w:rsid w:val="008B5701"/>
    <w:rsid w:val="008C33DB"/>
    <w:rsid w:val="008C7AEC"/>
    <w:rsid w:val="008E5800"/>
    <w:rsid w:val="008E748E"/>
    <w:rsid w:val="008F5B31"/>
    <w:rsid w:val="008F5F53"/>
    <w:rsid w:val="008F608D"/>
    <w:rsid w:val="009000B6"/>
    <w:rsid w:val="00902EFF"/>
    <w:rsid w:val="0090537A"/>
    <w:rsid w:val="00905BB1"/>
    <w:rsid w:val="00923F56"/>
    <w:rsid w:val="00936955"/>
    <w:rsid w:val="00952A69"/>
    <w:rsid w:val="009536BB"/>
    <w:rsid w:val="00953728"/>
    <w:rsid w:val="009567CB"/>
    <w:rsid w:val="00960AD7"/>
    <w:rsid w:val="0096147C"/>
    <w:rsid w:val="00963DC2"/>
    <w:rsid w:val="00965704"/>
    <w:rsid w:val="0096624C"/>
    <w:rsid w:val="009846C6"/>
    <w:rsid w:val="0098520D"/>
    <w:rsid w:val="00987523"/>
    <w:rsid w:val="009878BD"/>
    <w:rsid w:val="00987B43"/>
    <w:rsid w:val="009963F8"/>
    <w:rsid w:val="009A2A70"/>
    <w:rsid w:val="009A6C11"/>
    <w:rsid w:val="009B0018"/>
    <w:rsid w:val="009C0A70"/>
    <w:rsid w:val="009C5246"/>
    <w:rsid w:val="009C6E89"/>
    <w:rsid w:val="009D274E"/>
    <w:rsid w:val="009D6300"/>
    <w:rsid w:val="009D6442"/>
    <w:rsid w:val="009D77EE"/>
    <w:rsid w:val="009E2623"/>
    <w:rsid w:val="009E3E52"/>
    <w:rsid w:val="009E5E45"/>
    <w:rsid w:val="009E6111"/>
    <w:rsid w:val="009F0101"/>
    <w:rsid w:val="009F1F4A"/>
    <w:rsid w:val="009F25F4"/>
    <w:rsid w:val="009F36B6"/>
    <w:rsid w:val="00A01572"/>
    <w:rsid w:val="00A02CAC"/>
    <w:rsid w:val="00A14B34"/>
    <w:rsid w:val="00A23ADC"/>
    <w:rsid w:val="00A247CC"/>
    <w:rsid w:val="00A31997"/>
    <w:rsid w:val="00A35309"/>
    <w:rsid w:val="00A35DF3"/>
    <w:rsid w:val="00A40A29"/>
    <w:rsid w:val="00A42283"/>
    <w:rsid w:val="00A42B71"/>
    <w:rsid w:val="00A60982"/>
    <w:rsid w:val="00A60D35"/>
    <w:rsid w:val="00A64735"/>
    <w:rsid w:val="00A71058"/>
    <w:rsid w:val="00A753CD"/>
    <w:rsid w:val="00A819FC"/>
    <w:rsid w:val="00A81D73"/>
    <w:rsid w:val="00A82F29"/>
    <w:rsid w:val="00A8715B"/>
    <w:rsid w:val="00AA2CA8"/>
    <w:rsid w:val="00AB01D7"/>
    <w:rsid w:val="00AB56A2"/>
    <w:rsid w:val="00AB72BF"/>
    <w:rsid w:val="00AC2D89"/>
    <w:rsid w:val="00AC46FE"/>
    <w:rsid w:val="00AD62B2"/>
    <w:rsid w:val="00AE33E9"/>
    <w:rsid w:val="00AE64CA"/>
    <w:rsid w:val="00AE71E4"/>
    <w:rsid w:val="00AF201F"/>
    <w:rsid w:val="00AF421F"/>
    <w:rsid w:val="00AF4570"/>
    <w:rsid w:val="00B0699A"/>
    <w:rsid w:val="00B101EC"/>
    <w:rsid w:val="00B10AD7"/>
    <w:rsid w:val="00B10C64"/>
    <w:rsid w:val="00B14707"/>
    <w:rsid w:val="00B223D9"/>
    <w:rsid w:val="00B24BC0"/>
    <w:rsid w:val="00B270C0"/>
    <w:rsid w:val="00B37CB7"/>
    <w:rsid w:val="00B4003D"/>
    <w:rsid w:val="00B40CF8"/>
    <w:rsid w:val="00B43FC6"/>
    <w:rsid w:val="00B56823"/>
    <w:rsid w:val="00B57333"/>
    <w:rsid w:val="00B632F8"/>
    <w:rsid w:val="00B632FD"/>
    <w:rsid w:val="00B6379A"/>
    <w:rsid w:val="00B675FD"/>
    <w:rsid w:val="00B722F2"/>
    <w:rsid w:val="00B754E7"/>
    <w:rsid w:val="00B81E51"/>
    <w:rsid w:val="00B826E5"/>
    <w:rsid w:val="00B872F6"/>
    <w:rsid w:val="00B92026"/>
    <w:rsid w:val="00B936B0"/>
    <w:rsid w:val="00BA10BE"/>
    <w:rsid w:val="00BA3E7D"/>
    <w:rsid w:val="00BA5321"/>
    <w:rsid w:val="00BC1F12"/>
    <w:rsid w:val="00BC43C9"/>
    <w:rsid w:val="00BC6B2D"/>
    <w:rsid w:val="00BD5521"/>
    <w:rsid w:val="00BE0ACB"/>
    <w:rsid w:val="00BE5DAB"/>
    <w:rsid w:val="00C0511D"/>
    <w:rsid w:val="00C07CD7"/>
    <w:rsid w:val="00C10F7B"/>
    <w:rsid w:val="00C22A6C"/>
    <w:rsid w:val="00C23783"/>
    <w:rsid w:val="00C237C8"/>
    <w:rsid w:val="00C34846"/>
    <w:rsid w:val="00C360E4"/>
    <w:rsid w:val="00C51037"/>
    <w:rsid w:val="00C55AED"/>
    <w:rsid w:val="00C629EB"/>
    <w:rsid w:val="00C64EDF"/>
    <w:rsid w:val="00C66DD7"/>
    <w:rsid w:val="00C72CB3"/>
    <w:rsid w:val="00C74A31"/>
    <w:rsid w:val="00C77025"/>
    <w:rsid w:val="00C84BCF"/>
    <w:rsid w:val="00C9073A"/>
    <w:rsid w:val="00C92573"/>
    <w:rsid w:val="00C95657"/>
    <w:rsid w:val="00CA5846"/>
    <w:rsid w:val="00CA6587"/>
    <w:rsid w:val="00CA6CB6"/>
    <w:rsid w:val="00CA7382"/>
    <w:rsid w:val="00CB3530"/>
    <w:rsid w:val="00CB4197"/>
    <w:rsid w:val="00CC0113"/>
    <w:rsid w:val="00CD1B19"/>
    <w:rsid w:val="00CD532B"/>
    <w:rsid w:val="00CD6AA8"/>
    <w:rsid w:val="00CE1D9D"/>
    <w:rsid w:val="00D028ED"/>
    <w:rsid w:val="00D10FCA"/>
    <w:rsid w:val="00D24054"/>
    <w:rsid w:val="00D30BBE"/>
    <w:rsid w:val="00D35D7C"/>
    <w:rsid w:val="00D50F6F"/>
    <w:rsid w:val="00D51669"/>
    <w:rsid w:val="00D64C73"/>
    <w:rsid w:val="00D70FE5"/>
    <w:rsid w:val="00D7225E"/>
    <w:rsid w:val="00D75F72"/>
    <w:rsid w:val="00D81007"/>
    <w:rsid w:val="00D841A9"/>
    <w:rsid w:val="00D9111B"/>
    <w:rsid w:val="00D9187A"/>
    <w:rsid w:val="00D91A5B"/>
    <w:rsid w:val="00D96D88"/>
    <w:rsid w:val="00DA13B0"/>
    <w:rsid w:val="00DA5AAB"/>
    <w:rsid w:val="00DB6110"/>
    <w:rsid w:val="00DB707D"/>
    <w:rsid w:val="00DC0D88"/>
    <w:rsid w:val="00DC6D57"/>
    <w:rsid w:val="00DD2C0D"/>
    <w:rsid w:val="00DD44F2"/>
    <w:rsid w:val="00DD47BD"/>
    <w:rsid w:val="00DD54A1"/>
    <w:rsid w:val="00E0165F"/>
    <w:rsid w:val="00E141F7"/>
    <w:rsid w:val="00E22279"/>
    <w:rsid w:val="00E334C7"/>
    <w:rsid w:val="00E47258"/>
    <w:rsid w:val="00E53F9C"/>
    <w:rsid w:val="00E608B5"/>
    <w:rsid w:val="00E610E1"/>
    <w:rsid w:val="00E618C5"/>
    <w:rsid w:val="00E61E6E"/>
    <w:rsid w:val="00E761F6"/>
    <w:rsid w:val="00E77AF5"/>
    <w:rsid w:val="00E81AC5"/>
    <w:rsid w:val="00E82156"/>
    <w:rsid w:val="00E85176"/>
    <w:rsid w:val="00E855CD"/>
    <w:rsid w:val="00EA6CDB"/>
    <w:rsid w:val="00EB4174"/>
    <w:rsid w:val="00ED5BAA"/>
    <w:rsid w:val="00EE48FE"/>
    <w:rsid w:val="00EE5E89"/>
    <w:rsid w:val="00EF1910"/>
    <w:rsid w:val="00EF43B5"/>
    <w:rsid w:val="00F069C8"/>
    <w:rsid w:val="00F075F3"/>
    <w:rsid w:val="00F100AA"/>
    <w:rsid w:val="00F11BF5"/>
    <w:rsid w:val="00F22A73"/>
    <w:rsid w:val="00F22C64"/>
    <w:rsid w:val="00F24E47"/>
    <w:rsid w:val="00F26364"/>
    <w:rsid w:val="00F264F7"/>
    <w:rsid w:val="00F320D2"/>
    <w:rsid w:val="00F3254E"/>
    <w:rsid w:val="00F3594F"/>
    <w:rsid w:val="00F44C17"/>
    <w:rsid w:val="00F54F92"/>
    <w:rsid w:val="00F6662B"/>
    <w:rsid w:val="00F770BA"/>
    <w:rsid w:val="00F77FAE"/>
    <w:rsid w:val="00F83049"/>
    <w:rsid w:val="00F867C7"/>
    <w:rsid w:val="00F86C57"/>
    <w:rsid w:val="00FA1A37"/>
    <w:rsid w:val="00FA3617"/>
    <w:rsid w:val="00FB2952"/>
    <w:rsid w:val="00FD069A"/>
    <w:rsid w:val="00FD5E4E"/>
    <w:rsid w:val="00FE0A20"/>
    <w:rsid w:val="00FE1983"/>
    <w:rsid w:val="00FF0722"/>
    <w:rsid w:val="00FF0842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BB7FBA"/>
  <w14:defaultImageDpi w14:val="330"/>
  <w15:chartTrackingRefBased/>
  <w15:docId w15:val="{0B70E301-6AC9-4EBF-B3B8-B23DB302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120" w:after="240" w:line="300" w:lineRule="atLeast"/>
        <w:ind w:hanging="45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9E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8F8"/>
    <w:pPr>
      <w:keepNext/>
      <w:keepLines/>
      <w:spacing w:before="240"/>
      <w:ind w:firstLine="0"/>
      <w:outlineLvl w:val="0"/>
    </w:pPr>
    <w:rPr>
      <w:rFonts w:eastAsiaTheme="majorEastAsia" w:cstheme="majorBidi"/>
      <w:b/>
      <w:noProof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33E9"/>
    <w:pPr>
      <w:keepNext/>
      <w:keepLines/>
      <w:widowControl w:val="0"/>
      <w:spacing w:before="360" w:line="420" w:lineRule="exact"/>
      <w:ind w:firstLine="0"/>
      <w:outlineLvl w:val="1"/>
    </w:pPr>
    <w:rPr>
      <w:rFonts w:eastAsia="Times New Roman" w:cs="Times New Roman"/>
      <w:b/>
      <w:color w:val="000000" w:themeColor="text1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7523"/>
    <w:pPr>
      <w:keepNext/>
      <w:keepLines/>
      <w:spacing w:before="240"/>
      <w:outlineLvl w:val="2"/>
    </w:pPr>
    <w:rPr>
      <w:rFonts w:eastAsiaTheme="majorEastAsia" w:cstheme="majorBidi"/>
      <w:b/>
      <w:color w:val="000000" w:themeColor="text1"/>
      <w:sz w:val="28"/>
    </w:rPr>
  </w:style>
  <w:style w:type="paragraph" w:styleId="Heading4">
    <w:name w:val="heading 4"/>
    <w:aliases w:val="LGA TITLE"/>
    <w:basedOn w:val="Normal"/>
    <w:next w:val="Normal"/>
    <w:link w:val="Heading4Char"/>
    <w:uiPriority w:val="9"/>
    <w:rsid w:val="002C7020"/>
    <w:pPr>
      <w:widowControl w:val="0"/>
      <w:spacing w:line="400" w:lineRule="exact"/>
      <w:outlineLvl w:val="3"/>
    </w:pPr>
    <w:rPr>
      <w:rFonts w:eastAsia="Times New Roman" w:cs="Times New Roman"/>
      <w:b/>
      <w:bCs/>
      <w:color w:val="1F497D" w:themeColor="text2"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2A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372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A7"/>
    <w:rPr>
      <w:sz w:val="22"/>
    </w:rPr>
  </w:style>
  <w:style w:type="numbering" w:customStyle="1" w:styleId="LGABulletslevel1">
    <w:name w:val="LGA Bullets level 1"/>
    <w:basedOn w:val="NoList"/>
    <w:uiPriority w:val="99"/>
    <w:rsid w:val="00400A51"/>
    <w:pPr>
      <w:numPr>
        <w:numId w:val="2"/>
      </w:numPr>
    </w:pPr>
  </w:style>
  <w:style w:type="paragraph" w:customStyle="1" w:styleId="LGApagenumber">
    <w:name w:val="LGA page number"/>
    <w:basedOn w:val="Normal"/>
    <w:rsid w:val="00CA6CB6"/>
    <w:pPr>
      <w:ind w:left="1560"/>
    </w:pPr>
    <w:rPr>
      <w:rFonts w:cs="Times New Roman"/>
      <w:b/>
      <w:szCs w:val="22"/>
      <w:lang w:val="en-US"/>
    </w:rPr>
  </w:style>
  <w:style w:type="numbering" w:customStyle="1" w:styleId="LGA2">
    <w:name w:val="LGA  2"/>
    <w:basedOn w:val="NoList"/>
    <w:uiPriority w:val="99"/>
    <w:rsid w:val="00400A51"/>
    <w:pPr>
      <w:numPr>
        <w:numId w:val="3"/>
      </w:numPr>
    </w:pPr>
  </w:style>
  <w:style w:type="numbering" w:customStyle="1" w:styleId="Style2">
    <w:name w:val="Style2"/>
    <w:basedOn w:val="NoList"/>
    <w:uiPriority w:val="99"/>
    <w:rsid w:val="00B223D9"/>
    <w:pPr>
      <w:numPr>
        <w:numId w:val="4"/>
      </w:numPr>
    </w:pPr>
  </w:style>
  <w:style w:type="numbering" w:customStyle="1" w:styleId="bull1">
    <w:name w:val="bull 1"/>
    <w:basedOn w:val="NoList"/>
    <w:uiPriority w:val="99"/>
    <w:rsid w:val="00B223D9"/>
    <w:pPr>
      <w:numPr>
        <w:numId w:val="5"/>
      </w:numPr>
    </w:pPr>
  </w:style>
  <w:style w:type="numbering" w:customStyle="1" w:styleId="bullet1">
    <w:name w:val="bullet 1"/>
    <w:basedOn w:val="NoList"/>
    <w:uiPriority w:val="99"/>
    <w:rsid w:val="00FB2952"/>
    <w:pPr>
      <w:numPr>
        <w:numId w:val="6"/>
      </w:numPr>
    </w:pPr>
  </w:style>
  <w:style w:type="numbering" w:customStyle="1" w:styleId="Style3">
    <w:name w:val="Style3"/>
    <w:basedOn w:val="NoList"/>
    <w:uiPriority w:val="99"/>
    <w:rsid w:val="00FB2952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1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5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A3157"/>
  </w:style>
  <w:style w:type="paragraph" w:styleId="NormalWeb">
    <w:name w:val="Normal (Web)"/>
    <w:basedOn w:val="Normal"/>
    <w:uiPriority w:val="99"/>
    <w:unhideWhenUsed/>
    <w:rsid w:val="00F54F9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aliases w:val="LGA TITLE Char"/>
    <w:basedOn w:val="DefaultParagraphFont"/>
    <w:link w:val="Heading4"/>
    <w:uiPriority w:val="9"/>
    <w:rsid w:val="002C7020"/>
    <w:rPr>
      <w:rFonts w:ascii="Arial" w:eastAsia="Times New Roman" w:hAnsi="Arial" w:cs="Times New Roman"/>
      <w:b/>
      <w:bCs/>
      <w:color w:val="1F497D" w:themeColor="text2"/>
      <w:sz w:val="28"/>
      <w:szCs w:val="28"/>
      <w:lang w:val="x-none"/>
    </w:rPr>
  </w:style>
  <w:style w:type="paragraph" w:customStyle="1" w:styleId="numbers">
    <w:name w:val="numbers"/>
    <w:basedOn w:val="Normal"/>
    <w:rsid w:val="00A02CAC"/>
    <w:pPr>
      <w:tabs>
        <w:tab w:val="right" w:pos="10490"/>
      </w:tabs>
      <w:ind w:left="1418"/>
    </w:pPr>
    <w:rPr>
      <w:rFonts w:cs="Times New Roman"/>
      <w:b/>
      <w:color w:val="000000" w:themeColor="text1"/>
      <w:szCs w:val="22"/>
      <w:lang w:val="en-US"/>
    </w:rPr>
  </w:style>
  <w:style w:type="table" w:styleId="TableGrid">
    <w:name w:val="Table Grid"/>
    <w:basedOn w:val="TableNormal"/>
    <w:uiPriority w:val="59"/>
    <w:rsid w:val="0037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3737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D0E03"/>
    <w:rPr>
      <w:iCs/>
      <w:color w:val="9B2C9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748F8"/>
    <w:rPr>
      <w:rFonts w:ascii="Arial" w:eastAsiaTheme="majorEastAsia" w:hAnsi="Arial" w:cstheme="majorBidi"/>
      <w:b/>
      <w:noProof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E33E9"/>
    <w:rPr>
      <w:rFonts w:ascii="Arial" w:eastAsia="Times New Roman" w:hAnsi="Arial" w:cs="Times New Roman"/>
      <w:b/>
      <w:color w:val="000000" w:themeColor="text1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87523"/>
    <w:rPr>
      <w:rFonts w:ascii="Arial" w:eastAsiaTheme="majorEastAsia" w:hAnsi="Arial" w:cstheme="majorBidi"/>
      <w:b/>
      <w:color w:val="000000" w:themeColor="text1"/>
      <w:sz w:val="28"/>
    </w:rPr>
  </w:style>
  <w:style w:type="paragraph" w:styleId="ListBullet">
    <w:name w:val="List Bullet"/>
    <w:basedOn w:val="Normal"/>
    <w:uiPriority w:val="99"/>
    <w:semiHidden/>
    <w:unhideWhenUsed/>
    <w:qFormat/>
    <w:rsid w:val="0098520D"/>
    <w:pPr>
      <w:numPr>
        <w:numId w:val="1"/>
      </w:numPr>
      <w:contextualSpacing/>
    </w:pPr>
  </w:style>
  <w:style w:type="paragraph" w:styleId="List">
    <w:name w:val="List"/>
    <w:basedOn w:val="Normal"/>
    <w:uiPriority w:val="99"/>
    <w:semiHidden/>
    <w:unhideWhenUsed/>
    <w:rsid w:val="008F5F53"/>
    <w:pPr>
      <w:ind w:left="283" w:hanging="283"/>
      <w:contextualSpacing/>
    </w:pPr>
  </w:style>
  <w:style w:type="character" w:styleId="Hyperlink">
    <w:name w:val="Hyperlink"/>
    <w:basedOn w:val="DefaultParagraphFont"/>
    <w:uiPriority w:val="99"/>
    <w:unhideWhenUsed/>
    <w:rsid w:val="00C84B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B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BA5321"/>
    <w:pPr>
      <w:spacing w:before="0" w:after="160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B0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1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1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1D7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1E51"/>
    <w:pPr>
      <w:spacing w:before="0" w:after="0" w:line="240" w:lineRule="auto"/>
      <w:ind w:firstLine="0"/>
    </w:pPr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D24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3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6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6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1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29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3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0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8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5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5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0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2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7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ocal.gov.uk/publications/leading-fire-sector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lucy.ellender@local.gov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local.gov.uk/sites/default/files/documents/Leading%20the%20fire%20sector%20-%20oversight%20of%20fire%20and%20rescue%20service%20performance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fac.org/knowledge-gateway/supporting-international-standards/publications/international-framework-good-governance-public-secto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ia.peters\Downloads\Board%20report%20template_MJ%20amend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0551db-00be-4bbc-8c7a-03e783dddd12">
      <UserInfo>
        <DisplayName>Mark Norris,  LGA Policy</DisplayName>
        <AccountId>18</AccountId>
        <AccountType/>
      </UserInfo>
      <UserInfo>
        <DisplayName>Jonathan Bryant</DisplayName>
        <AccountId>105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7ACA3E1F6AE4688C8E6577F13F91B" ma:contentTypeVersion="13" ma:contentTypeDescription="Create a new document." ma:contentTypeScope="" ma:versionID="6d7a48a6e7eb4b31be6e4b71c868ee08">
  <xsd:schema xmlns:xsd="http://www.w3.org/2001/XMLSchema" xmlns:xs="http://www.w3.org/2001/XMLSchema" xmlns:p="http://schemas.microsoft.com/office/2006/metadata/properties" xmlns:ns2="36f666af-c1f7-41bf-aa8d-09e75bf390e0" xmlns:ns3="260551db-00be-4bbc-8c7a-03e783dddd12" targetNamespace="http://schemas.microsoft.com/office/2006/metadata/properties" ma:root="true" ma:fieldsID="187169b8a0225717266c234176afd8fb" ns2:_="" ns3:_="">
    <xsd:import namespace="36f666af-c1f7-41bf-aa8d-09e75bf390e0"/>
    <xsd:import namespace="260551db-00be-4bbc-8c7a-03e783ddd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666af-c1f7-41bf-aa8d-09e75bf39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51db-00be-4bbc-8c7a-03e783ddd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E9DDD9-F9B3-45BB-B9C9-F0931FAD39EB}">
  <ds:schemaRefs>
    <ds:schemaRef ds:uri="36f666af-c1f7-41bf-aa8d-09e75bf390e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60551db-00be-4bbc-8c7a-03e783dddd1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B1E91B-2E44-4688-9464-4AD2B2FF1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666af-c1f7-41bf-aa8d-09e75bf390e0"/>
    <ds:schemaRef ds:uri="260551db-00be-4bbc-8c7a-03e783ddd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2959A5-B3A4-4838-A5A1-BA54E60EA7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C5736D-CA67-4E07-88B1-E643D31428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report template_MJ amends</Template>
  <TotalTime>150</TotalTime>
  <Pages>5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report template</vt:lpstr>
    </vt:vector>
  </TitlesOfParts>
  <Company/>
  <LinksUpToDate>false</LinksUpToDate>
  <CharactersWithSpaces>10271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report template</dc:title>
  <dc:subject/>
  <dc:creator>Emilia Peters</dc:creator>
  <cp:keywords/>
  <dc:description/>
  <cp:lastModifiedBy>Lucy Ellender</cp:lastModifiedBy>
  <cp:revision>60</cp:revision>
  <dcterms:created xsi:type="dcterms:W3CDTF">2022-11-23T10:17:00Z</dcterms:created>
  <dcterms:modified xsi:type="dcterms:W3CDTF">2022-12-06T12:02:00Z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0x0101005CE7ACA3E1F6AE4688C8E6577F13F91B</vt:lpwstr>
  </property>
  <property fmtid="{D5CDD505-2E9C-101B-9397-08002B2CF9AE}" pid="3" name="Document owner">
    <vt:lpwstr>999;#LGA MemberServices</vt:lpwstr>
  </property>
</Properties>
</file>